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6C" w:rsidRPr="00DE2E6C" w:rsidRDefault="00DE2E6C" w:rsidP="00DE2E6C">
      <w:pPr>
        <w:spacing w:after="0" w:line="240" w:lineRule="auto"/>
        <w:ind w:firstLine="708"/>
        <w:jc w:val="both"/>
        <w:rPr>
          <w:rFonts w:ascii="Calibri" w:eastAsia="Calibri" w:hAnsi="Calibri" w:cs="Arial"/>
          <w:b/>
          <w:bCs/>
          <w:iCs/>
          <w:color w:val="767171"/>
          <w:sz w:val="26"/>
          <w:szCs w:val="24"/>
          <w:lang w:eastAsia="es-ES"/>
        </w:rPr>
      </w:pPr>
      <w:r w:rsidRPr="00DE2E6C">
        <w:rPr>
          <w:rFonts w:ascii="Calibri" w:eastAsia="Calibri" w:hAnsi="Calibri" w:cs="Times New Roman"/>
          <w:b/>
          <w:bCs/>
          <w:iCs/>
          <w:color w:val="767171"/>
          <w:sz w:val="26"/>
          <w:szCs w:val="24"/>
          <w:lang w:eastAsia="es-ES"/>
        </w:rPr>
        <w:t>León, Guanajuato, a 19 diecinueve de diciembre del año 2017 dos mil diecisiete</w:t>
      </w:r>
      <w:r w:rsidRPr="00DE2E6C">
        <w:rPr>
          <w:rFonts w:ascii="Calibri" w:eastAsia="Calibri" w:hAnsi="Calibri" w:cs="Times New Roman"/>
          <w:bCs/>
          <w:iCs/>
          <w:color w:val="767171"/>
          <w:sz w:val="26"/>
          <w:szCs w:val="24"/>
          <w:lang w:eastAsia="es-ES"/>
        </w:rPr>
        <w:t xml:space="preserve">. . . . . . . . . . . . . . . . . . . . . . . . . . . . . . . . . . . . . . . . . . . . . . . . . . . . . . . . . . . . </w:t>
      </w:r>
    </w:p>
    <w:p w:rsidR="00DE2E6C" w:rsidRPr="00DE2E6C" w:rsidRDefault="00DE2E6C" w:rsidP="00DE2E6C">
      <w:pPr>
        <w:spacing w:after="0" w:line="240" w:lineRule="auto"/>
        <w:rPr>
          <w:rFonts w:ascii="Calibri" w:eastAsia="Calibri" w:hAnsi="Calibri" w:cs="Times New Roman"/>
          <w:color w:val="767171"/>
          <w:sz w:val="26"/>
          <w:szCs w:val="24"/>
          <w:lang w:val="es-ES" w:eastAsia="es-ES"/>
        </w:rPr>
      </w:pPr>
    </w:p>
    <w:p w:rsidR="00DE2E6C" w:rsidRPr="00DE2E6C" w:rsidRDefault="00DE2E6C" w:rsidP="00DE2E6C">
      <w:pPr>
        <w:spacing w:after="0" w:line="240" w:lineRule="auto"/>
        <w:ind w:firstLine="708"/>
        <w:jc w:val="both"/>
        <w:rPr>
          <w:rFonts w:ascii="Calibri" w:eastAsia="Calibri" w:hAnsi="Calibri" w:cs="Arial"/>
          <w:color w:val="767171"/>
          <w:sz w:val="26"/>
          <w:szCs w:val="24"/>
          <w:lang w:eastAsia="es-ES"/>
        </w:rPr>
      </w:pPr>
      <w:r w:rsidRPr="00DE2E6C">
        <w:rPr>
          <w:rFonts w:ascii="Calibri" w:eastAsia="Calibri" w:hAnsi="Calibri" w:cs="Times New Roman"/>
          <w:b/>
          <w:bCs/>
          <w:i/>
          <w:iCs/>
          <w:color w:val="767171"/>
          <w:sz w:val="26"/>
          <w:szCs w:val="24"/>
          <w:lang w:eastAsia="es-ES"/>
        </w:rPr>
        <w:t>V I S T O S</w:t>
      </w:r>
      <w:r w:rsidRPr="00DE2E6C">
        <w:rPr>
          <w:rFonts w:ascii="Calibri" w:eastAsia="Calibri" w:hAnsi="Calibri" w:cs="Times New Roman"/>
          <w:color w:val="767171"/>
          <w:sz w:val="26"/>
          <w:szCs w:val="24"/>
          <w:lang w:eastAsia="es-ES"/>
        </w:rPr>
        <w:t xml:space="preserve">  para dictar sentencia definitiva, los autos del proceso administrativo identificado con el número </w:t>
      </w:r>
      <w:r w:rsidRPr="00DE2E6C">
        <w:rPr>
          <w:rFonts w:ascii="Calibri" w:eastAsia="Calibri" w:hAnsi="Calibri" w:cs="Times New Roman"/>
          <w:b/>
          <w:color w:val="767171"/>
          <w:sz w:val="26"/>
          <w:szCs w:val="24"/>
          <w:lang w:eastAsia="es-ES"/>
        </w:rPr>
        <w:t>400</w:t>
      </w:r>
      <w:r w:rsidRPr="00DE2E6C">
        <w:rPr>
          <w:rFonts w:ascii="Calibri" w:eastAsia="Calibri" w:hAnsi="Calibri" w:cs="Times New Roman"/>
          <w:b/>
          <w:bCs/>
          <w:iCs/>
          <w:color w:val="767171"/>
          <w:sz w:val="26"/>
          <w:szCs w:val="24"/>
          <w:lang w:eastAsia="es-ES"/>
        </w:rPr>
        <w:t>/</w:t>
      </w:r>
      <w:r w:rsidRPr="00DE2E6C">
        <w:rPr>
          <w:rFonts w:ascii="Calibri" w:eastAsia="Calibri" w:hAnsi="Calibri" w:cs="Times New Roman"/>
          <w:b/>
          <w:iCs/>
          <w:color w:val="767171"/>
          <w:sz w:val="26"/>
          <w:szCs w:val="24"/>
          <w:lang w:eastAsia="es-ES"/>
        </w:rPr>
        <w:t>2014-JN</w:t>
      </w:r>
      <w:r w:rsidRPr="00DE2E6C">
        <w:rPr>
          <w:rFonts w:ascii="Calibri" w:eastAsia="Calibri" w:hAnsi="Calibri" w:cs="Times New Roman"/>
          <w:color w:val="767171"/>
          <w:sz w:val="26"/>
          <w:szCs w:val="24"/>
          <w:lang w:eastAsia="es-ES"/>
        </w:rPr>
        <w:t xml:space="preserve"> promovido por el ciudadano </w:t>
      </w:r>
      <w:r w:rsidRPr="00DE2E6C">
        <w:rPr>
          <w:rFonts w:ascii="Calibri" w:eastAsia="Calibri" w:hAnsi="Calibri" w:cs="Times New Roman"/>
          <w:b/>
          <w:bCs/>
          <w:color w:val="767171"/>
          <w:sz w:val="26"/>
          <w:szCs w:val="24"/>
          <w:lang w:eastAsia="es-ES"/>
        </w:rPr>
        <w:t>*****</w:t>
      </w:r>
      <w:r w:rsidRPr="00DE2E6C">
        <w:rPr>
          <w:rFonts w:ascii="Calibri" w:eastAsia="Calibri" w:hAnsi="Calibri" w:cs="Times New Roman"/>
          <w:color w:val="767171"/>
          <w:sz w:val="26"/>
          <w:szCs w:val="24"/>
          <w:lang w:eastAsia="es-ES"/>
        </w:rPr>
        <w:t xml:space="preserve">, como Apoderado General para pleitos y cobranzas de la persona moral denominada </w:t>
      </w:r>
      <w:r w:rsidRPr="00DE2E6C">
        <w:rPr>
          <w:rFonts w:ascii="Calibri" w:eastAsia="Calibri" w:hAnsi="Calibri" w:cs="Times New Roman"/>
          <w:b/>
          <w:bCs/>
          <w:i/>
          <w:iCs/>
          <w:color w:val="767171"/>
          <w:sz w:val="26"/>
          <w:szCs w:val="24"/>
          <w:lang w:eastAsia="es-ES"/>
        </w:rPr>
        <w:t>*****</w:t>
      </w:r>
      <w:r w:rsidRPr="00DE2E6C">
        <w:rPr>
          <w:rFonts w:ascii="Calibri" w:eastAsia="Calibri" w:hAnsi="Calibri" w:cs="Times New Roman"/>
          <w:color w:val="767171"/>
          <w:sz w:val="26"/>
          <w:szCs w:val="24"/>
          <w:lang w:eastAsia="es-ES"/>
        </w:rPr>
        <w:t xml:space="preserve">; </w:t>
      </w:r>
      <w:r w:rsidRPr="00DE2E6C">
        <w:rPr>
          <w:rFonts w:ascii="Calibri" w:eastAsia="Calibri" w:hAnsi="Calibri" w:cs="Arial"/>
          <w:bCs/>
          <w:iCs/>
          <w:color w:val="767171"/>
          <w:sz w:val="26"/>
          <w:szCs w:val="24"/>
          <w:lang w:eastAsia="es-ES"/>
        </w:rPr>
        <w:t>y,</w:t>
      </w:r>
      <w:r w:rsidRPr="00DE2E6C">
        <w:rPr>
          <w:rFonts w:ascii="Calibri" w:eastAsia="Calibri" w:hAnsi="Calibri" w:cs="Arial"/>
          <w:color w:val="767171"/>
          <w:sz w:val="26"/>
          <w:szCs w:val="24"/>
          <w:lang w:eastAsia="es-ES"/>
        </w:rPr>
        <w:t xml:space="preserve">. . . . . . . . . . . . . . . . . . . . . </w:t>
      </w:r>
    </w:p>
    <w:p w:rsidR="00DE2E6C" w:rsidRPr="00DE2E6C" w:rsidRDefault="00DE2E6C" w:rsidP="00DE2E6C">
      <w:pPr>
        <w:spacing w:after="0" w:line="240" w:lineRule="auto"/>
        <w:jc w:val="both"/>
        <w:rPr>
          <w:rFonts w:ascii="Calibri" w:eastAsia="Calibri" w:hAnsi="Calibri" w:cs="Arial"/>
          <w:color w:val="767171"/>
          <w:sz w:val="26"/>
          <w:szCs w:val="24"/>
          <w:lang w:eastAsia="es-ES"/>
        </w:rPr>
      </w:pPr>
    </w:p>
    <w:p w:rsidR="00DE2E6C" w:rsidRPr="00DE2E6C" w:rsidRDefault="00DE2E6C" w:rsidP="00DE2E6C">
      <w:pPr>
        <w:spacing w:after="0" w:line="240" w:lineRule="auto"/>
        <w:jc w:val="both"/>
        <w:rPr>
          <w:rFonts w:ascii="Calibri" w:eastAsia="Calibri" w:hAnsi="Calibri" w:cs="Times New Roman"/>
          <w:color w:val="767171"/>
          <w:sz w:val="26"/>
          <w:szCs w:val="26"/>
          <w:lang w:val="es-ES" w:eastAsia="es-ES"/>
        </w:rPr>
      </w:pPr>
    </w:p>
    <w:p w:rsidR="00DE2E6C" w:rsidRPr="00DE2E6C" w:rsidRDefault="00DE2E6C" w:rsidP="00DE2E6C">
      <w:pPr>
        <w:spacing w:after="0" w:line="240" w:lineRule="auto"/>
        <w:ind w:firstLine="708"/>
        <w:jc w:val="right"/>
        <w:rPr>
          <w:rFonts w:ascii="Calibri" w:eastAsia="Calibri" w:hAnsi="Calibri" w:cs="Times New Roman"/>
          <w:b/>
          <w:bCs/>
          <w:color w:val="767171"/>
          <w:sz w:val="26"/>
          <w:szCs w:val="26"/>
          <w:lang w:val="es-ES" w:eastAsia="es-ES"/>
        </w:rPr>
      </w:pPr>
      <w:r w:rsidRPr="00DE2E6C">
        <w:rPr>
          <w:rFonts w:ascii="Calibri" w:eastAsia="Calibri" w:hAnsi="Calibri" w:cs="Times New Roman"/>
          <w:b/>
          <w:bCs/>
          <w:color w:val="767171"/>
          <w:sz w:val="26"/>
          <w:szCs w:val="26"/>
          <w:lang w:val="es-ES" w:eastAsia="es-ES"/>
        </w:rPr>
        <w:t>Expediente número 400/2014-JN</w:t>
      </w:r>
    </w:p>
    <w:p w:rsidR="00DE2E6C" w:rsidRPr="00DE2E6C" w:rsidRDefault="00DE2E6C" w:rsidP="00DE2E6C">
      <w:pPr>
        <w:spacing w:after="0" w:line="240" w:lineRule="auto"/>
        <w:jc w:val="both"/>
        <w:rPr>
          <w:rFonts w:ascii="Calibri" w:eastAsia="Calibri" w:hAnsi="Calibri" w:cs="Arial"/>
          <w:color w:val="767171"/>
          <w:sz w:val="26"/>
          <w:szCs w:val="24"/>
          <w:lang w:eastAsia="es-ES"/>
        </w:rPr>
      </w:pPr>
    </w:p>
    <w:p w:rsidR="00DE2E6C" w:rsidRPr="00DE2E6C" w:rsidRDefault="00DE2E6C" w:rsidP="00DE2E6C">
      <w:pPr>
        <w:spacing w:after="0" w:line="240" w:lineRule="auto"/>
        <w:ind w:firstLine="708"/>
        <w:jc w:val="center"/>
        <w:rPr>
          <w:rFonts w:ascii="Calibri" w:eastAsia="Calibri" w:hAnsi="Calibri" w:cs="Arial"/>
          <w:b/>
          <w:bCs/>
          <w:i/>
          <w:iCs/>
          <w:color w:val="767171"/>
          <w:sz w:val="26"/>
          <w:szCs w:val="24"/>
          <w:lang w:eastAsia="es-ES"/>
        </w:rPr>
      </w:pPr>
      <w:r w:rsidRPr="00DE2E6C">
        <w:rPr>
          <w:rFonts w:ascii="Calibri" w:eastAsia="Calibri" w:hAnsi="Calibri" w:cs="Arial"/>
          <w:b/>
          <w:bCs/>
          <w:i/>
          <w:iCs/>
          <w:color w:val="767171"/>
          <w:sz w:val="26"/>
          <w:szCs w:val="24"/>
          <w:lang w:eastAsia="es-ES"/>
        </w:rPr>
        <w:t xml:space="preserve">C O N S I D E R A N D </w:t>
      </w:r>
      <w:proofErr w:type="gramStart"/>
      <w:r w:rsidRPr="00DE2E6C">
        <w:rPr>
          <w:rFonts w:ascii="Calibri" w:eastAsia="Calibri" w:hAnsi="Calibri" w:cs="Arial"/>
          <w:b/>
          <w:bCs/>
          <w:i/>
          <w:iCs/>
          <w:color w:val="767171"/>
          <w:sz w:val="26"/>
          <w:szCs w:val="24"/>
          <w:lang w:eastAsia="es-ES"/>
        </w:rPr>
        <w:t>O :</w:t>
      </w:r>
      <w:proofErr w:type="gramEnd"/>
    </w:p>
    <w:p w:rsidR="00DE2E6C" w:rsidRPr="00DE2E6C" w:rsidRDefault="00DE2E6C" w:rsidP="00DE2E6C">
      <w:pPr>
        <w:spacing w:after="0" w:line="240" w:lineRule="auto"/>
        <w:jc w:val="both"/>
        <w:rPr>
          <w:rFonts w:ascii="Calibri" w:eastAsia="Calibri" w:hAnsi="Calibri" w:cs="Arial"/>
          <w:b/>
          <w:bCs/>
          <w:i/>
          <w:iCs/>
          <w:color w:val="767171"/>
          <w:sz w:val="26"/>
          <w:szCs w:val="24"/>
          <w:lang w:eastAsia="es-ES"/>
        </w:rPr>
      </w:pPr>
    </w:p>
    <w:p w:rsidR="00DE2E6C" w:rsidRPr="00DE2E6C" w:rsidRDefault="00DE2E6C" w:rsidP="00DE2E6C">
      <w:pPr>
        <w:spacing w:after="0" w:line="240" w:lineRule="auto"/>
        <w:jc w:val="both"/>
        <w:rPr>
          <w:rFonts w:ascii="Calibri" w:eastAsia="Calibri" w:hAnsi="Calibri" w:cs="Arial"/>
          <w:color w:val="767171"/>
          <w:sz w:val="26"/>
          <w:szCs w:val="24"/>
          <w:lang w:eastAsia="es-ES"/>
        </w:rPr>
      </w:pPr>
    </w:p>
    <w:p w:rsidR="00DE2E6C" w:rsidRPr="00DE2E6C" w:rsidRDefault="00DE2E6C" w:rsidP="00DE2E6C">
      <w:pPr>
        <w:spacing w:after="0" w:line="240" w:lineRule="auto"/>
        <w:ind w:firstLine="708"/>
        <w:jc w:val="both"/>
        <w:rPr>
          <w:rFonts w:ascii="Calibri" w:eastAsia="Calibri" w:hAnsi="Calibri" w:cs="Arial"/>
          <w:b/>
          <w:bCs/>
          <w:color w:val="767171"/>
          <w:sz w:val="26"/>
          <w:szCs w:val="24"/>
          <w:lang w:eastAsia="es-ES"/>
        </w:rPr>
      </w:pPr>
      <w:r w:rsidRPr="00DE2E6C">
        <w:rPr>
          <w:rFonts w:ascii="Calibri" w:eastAsia="Calibri" w:hAnsi="Calibri" w:cs="Arial"/>
          <w:b/>
          <w:bCs/>
          <w:i/>
          <w:iCs/>
          <w:color w:val="767171"/>
          <w:sz w:val="26"/>
          <w:szCs w:val="24"/>
          <w:lang w:eastAsia="es-ES"/>
        </w:rPr>
        <w:t>SEGUNDO</w:t>
      </w:r>
      <w:r w:rsidRPr="00DE2E6C">
        <w:rPr>
          <w:rFonts w:ascii="Calibri" w:eastAsia="Calibri" w:hAnsi="Calibri" w:cs="Arial"/>
          <w:b/>
          <w:bCs/>
          <w:color w:val="767171"/>
          <w:sz w:val="26"/>
          <w:szCs w:val="24"/>
          <w:lang w:eastAsia="es-ES"/>
        </w:rPr>
        <w:t xml:space="preserve">.- </w:t>
      </w:r>
      <w:r w:rsidRPr="00DE2E6C">
        <w:rPr>
          <w:rFonts w:ascii="Calibri" w:eastAsia="Calibri" w:hAnsi="Calibri" w:cs="Arial"/>
          <w:color w:val="767171"/>
          <w:sz w:val="26"/>
          <w:szCs w:val="24"/>
          <w:lang w:eastAsia="es-ES"/>
        </w:rPr>
        <w:t xml:space="preserve">El proceso administrativo fue presentado oportunamente dentro de los 30 treinta días hábiles siguientes a la fecha en que el representante de la parte actora, manifestó haber tenido conocimiento de la resolución que impugna; lo que fue </w:t>
      </w:r>
      <w:r w:rsidRPr="00DE2E6C">
        <w:rPr>
          <w:rFonts w:ascii="Calibri" w:eastAsia="Calibri" w:hAnsi="Calibri" w:cs="Times New Roman"/>
          <w:color w:val="767171"/>
          <w:sz w:val="26"/>
          <w:szCs w:val="24"/>
          <w:lang w:eastAsia="es-ES"/>
        </w:rPr>
        <w:t xml:space="preserve">el día 27 veintisiete de julio del año 2014 dos mil catorce; </w:t>
      </w:r>
      <w:r w:rsidRPr="00DE2E6C">
        <w:rPr>
          <w:rFonts w:ascii="Calibri" w:eastAsia="Calibri" w:hAnsi="Calibri" w:cs="Times New Roman"/>
          <w:color w:val="767171"/>
          <w:sz w:val="26"/>
          <w:szCs w:val="26"/>
          <w:lang w:eastAsia="es-ES"/>
        </w:rPr>
        <w:t xml:space="preserve">sin que de las constancias contenidas en los </w:t>
      </w:r>
      <w:r w:rsidRPr="00DE2E6C">
        <w:rPr>
          <w:rFonts w:ascii="Calibri" w:eastAsia="Calibri" w:hAnsi="Calibri" w:cs="Times New Roman"/>
          <w:color w:val="767171"/>
          <w:sz w:val="26"/>
          <w:szCs w:val="24"/>
          <w:lang w:eastAsia="es-ES"/>
        </w:rPr>
        <w:t>autos de la presente causa administrativa, se desprenda lo contrario</w:t>
      </w:r>
      <w:r w:rsidRPr="00DE2E6C">
        <w:rPr>
          <w:rFonts w:ascii="Calibri" w:eastAsia="Calibri" w:hAnsi="Calibri" w:cs="Times New Roman"/>
          <w:color w:val="767171"/>
          <w:sz w:val="26"/>
          <w:szCs w:val="26"/>
          <w:lang w:eastAsia="es-ES"/>
        </w:rPr>
        <w:t xml:space="preserve">. . </w:t>
      </w:r>
      <w:r w:rsidRPr="00DE2E6C">
        <w:rPr>
          <w:rFonts w:ascii="Calibri" w:eastAsia="Calibri" w:hAnsi="Calibri" w:cs="Arial"/>
          <w:color w:val="767171"/>
          <w:sz w:val="26"/>
          <w:szCs w:val="24"/>
          <w:lang w:eastAsia="es-ES"/>
        </w:rPr>
        <w:t xml:space="preserve">. </w:t>
      </w:r>
      <w:r w:rsidRPr="00DE2E6C">
        <w:rPr>
          <w:rFonts w:ascii="Calibri" w:eastAsia="Calibri" w:hAnsi="Calibri" w:cs="Times New Roman"/>
          <w:color w:val="767171"/>
          <w:sz w:val="26"/>
          <w:szCs w:val="24"/>
          <w:lang w:eastAsia="es-ES"/>
        </w:rPr>
        <w:t xml:space="preserve">. . . . . . . . . . . . . . . . . . . . . . . . . . </w:t>
      </w:r>
    </w:p>
    <w:p w:rsidR="00DE2E6C" w:rsidRPr="00DE2E6C" w:rsidRDefault="00DE2E6C" w:rsidP="00DE2E6C">
      <w:pPr>
        <w:spacing w:after="0" w:line="240" w:lineRule="auto"/>
        <w:jc w:val="both"/>
        <w:rPr>
          <w:rFonts w:ascii="Calibri" w:eastAsia="Calibri" w:hAnsi="Calibri" w:cs="Arial"/>
          <w:b/>
          <w:bCs/>
          <w:color w:val="767171"/>
          <w:sz w:val="26"/>
          <w:szCs w:val="24"/>
          <w:lang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r w:rsidRPr="00DE2E6C">
        <w:rPr>
          <w:rFonts w:ascii="Calibri" w:eastAsia="Calibri" w:hAnsi="Calibri" w:cs="Times New Roman"/>
          <w:b/>
          <w:i/>
          <w:iCs/>
          <w:color w:val="767171"/>
          <w:sz w:val="26"/>
          <w:szCs w:val="24"/>
          <w:lang w:val="es-ES" w:eastAsia="es-ES"/>
        </w:rPr>
        <w:t xml:space="preserve">TERCERO.- </w:t>
      </w:r>
      <w:r w:rsidRPr="00DE2E6C">
        <w:rPr>
          <w:rFonts w:ascii="Calibri" w:eastAsia="Calibri" w:hAnsi="Calibri" w:cs="Times New Roman"/>
          <w:color w:val="767171"/>
          <w:sz w:val="26"/>
          <w:lang w:val="es-ES" w:eastAsia="es-ES"/>
        </w:rPr>
        <w:t xml:space="preserve">La existencia de la resolución impugnada en la presente causa administrativa, se encuentra documentada en autos con el </w:t>
      </w:r>
      <w:r w:rsidRPr="00DE2E6C">
        <w:rPr>
          <w:rFonts w:ascii="Calibri" w:eastAsia="Calibri" w:hAnsi="Calibri" w:cs="Times New Roman"/>
          <w:bCs/>
          <w:color w:val="767171"/>
          <w:sz w:val="26"/>
          <w:szCs w:val="26"/>
          <w:lang w:val="es-ES" w:eastAsia="es-ES"/>
        </w:rPr>
        <w:t>oficio número DGDU/CSC/CA/9-159297/2014; de fecha 10 diez de julio del año 2014 dos mil catorce, mediante el cual se determinó que no era factible otorgarle el permiso  de anuncio publicitario de tipo espectacular en azotea; en el inmueble ubicado en *****</w:t>
      </w:r>
      <w:r w:rsidRPr="00DE2E6C">
        <w:rPr>
          <w:rFonts w:ascii="Calibri" w:eastAsia="Calibri" w:hAnsi="Calibri" w:cs="Times New Roman"/>
          <w:color w:val="767171"/>
          <w:sz w:val="26"/>
          <w:lang w:val="es-ES" w:eastAsia="es-ES"/>
        </w:rPr>
        <w:t xml:space="preserve">; el que ofrecido y admitido como prueba a la parte actora, y obra en el expediente a foja 20 veinte; prueba documental que merece pleno valor probatorio, </w:t>
      </w:r>
      <w:r w:rsidRPr="00DE2E6C">
        <w:rPr>
          <w:rFonts w:ascii="Calibri" w:eastAsia="Calibri" w:hAnsi="Calibri" w:cs="Times New Roman"/>
          <w:color w:val="767171"/>
          <w:sz w:val="26"/>
          <w:szCs w:val="24"/>
          <w:lang w:val="es-ES" w:eastAsia="es-ES"/>
        </w:rPr>
        <w:t xml:space="preserve">conforme lo dispuesto en los artículos 78, 117, 121 y 131 del Código de Procedimiento y Justicia Administrativa para el Estado y los Municipios de Guanajuato, toda vez que se trata de un </w:t>
      </w:r>
      <w:r w:rsidRPr="00DE2E6C">
        <w:rPr>
          <w:rFonts w:ascii="Calibri" w:eastAsia="Calibri" w:hAnsi="Calibri" w:cs="Times New Roman"/>
          <w:color w:val="767171"/>
          <w:sz w:val="26"/>
          <w:lang w:val="es-ES" w:eastAsia="es-ES"/>
        </w:rPr>
        <w:t>documento público expedido por las autoridades demandadas en el ejercicio de sus atribuciones; aunado al reconocimiento que, de alguna manera, hicieron las enjuiciadas, al contestar la demanda; al decir que el oficio controvertido está debidamente fundado y motivado y, que rechazaron la petición de manera por demás congruente. . . .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6"/>
          <w:lang w:val="es-ES" w:eastAsia="es-ES"/>
        </w:rPr>
      </w:pPr>
    </w:p>
    <w:p w:rsidR="00DE2E6C" w:rsidRPr="00DE2E6C" w:rsidRDefault="00DE2E6C" w:rsidP="00DE2E6C">
      <w:pPr>
        <w:spacing w:after="0" w:line="240" w:lineRule="auto"/>
        <w:ind w:firstLine="708"/>
        <w:jc w:val="both"/>
        <w:rPr>
          <w:rFonts w:ascii="Calibri" w:eastAsia="Calibri" w:hAnsi="Calibri" w:cs="Arial"/>
          <w:color w:val="767171"/>
          <w:sz w:val="26"/>
          <w:szCs w:val="24"/>
          <w:lang w:val="es-ES" w:eastAsia="es-ES"/>
        </w:rPr>
      </w:pPr>
      <w:r w:rsidRPr="00DE2E6C">
        <w:rPr>
          <w:rFonts w:ascii="Calibri" w:eastAsia="Calibri" w:hAnsi="Calibri" w:cs="Times New Roman"/>
          <w:color w:val="767171"/>
          <w:sz w:val="26"/>
          <w:lang w:val="es-ES" w:eastAsia="es-ES"/>
        </w:rPr>
        <w:t>En razón de lo anterior, no existe duda alguna sobre la existencia de la resolución impugnada.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b/>
          <w:i/>
          <w:color w:val="767171"/>
          <w:sz w:val="26"/>
          <w:szCs w:val="24"/>
          <w:lang w:val="es-ES" w:eastAsia="es-ES"/>
        </w:rPr>
      </w:pPr>
    </w:p>
    <w:p w:rsidR="00DE2E6C" w:rsidRPr="00DE2E6C" w:rsidRDefault="00DE2E6C" w:rsidP="00DE2E6C">
      <w:pPr>
        <w:spacing w:after="0" w:line="240" w:lineRule="auto"/>
        <w:ind w:firstLine="708"/>
        <w:jc w:val="both"/>
        <w:rPr>
          <w:rFonts w:ascii="Calibri" w:eastAsia="Calibri" w:hAnsi="Calibri" w:cs="Times New Roman"/>
          <w:bCs/>
          <w:iCs/>
          <w:color w:val="767171"/>
          <w:sz w:val="26"/>
          <w:szCs w:val="26"/>
          <w:lang w:val="es-ES" w:eastAsia="es-ES"/>
        </w:rPr>
      </w:pPr>
      <w:r w:rsidRPr="00DE2E6C">
        <w:rPr>
          <w:rFonts w:ascii="Calibri" w:eastAsia="Calibri" w:hAnsi="Calibri" w:cs="Times New Roman"/>
          <w:b/>
          <w:i/>
          <w:color w:val="767171"/>
          <w:sz w:val="26"/>
          <w:szCs w:val="24"/>
          <w:lang w:val="es-ES" w:eastAsia="es-ES"/>
        </w:rPr>
        <w:lastRenderedPageBreak/>
        <w:t xml:space="preserve">CUARTO.- </w:t>
      </w:r>
      <w:r w:rsidRPr="00DE2E6C">
        <w:rPr>
          <w:rFonts w:ascii="Calibri" w:eastAsia="Calibri" w:hAnsi="Calibri" w:cs="Times New Roman"/>
          <w:bCs/>
          <w:iCs/>
          <w:color w:val="767171"/>
          <w:sz w:val="26"/>
          <w:szCs w:val="26"/>
          <w:lang w:val="es-ES" w:eastAsia="es-ES"/>
        </w:rPr>
        <w:t xml:space="preserve">Por ser de </w:t>
      </w:r>
      <w:r w:rsidRPr="00DE2E6C">
        <w:rPr>
          <w:rFonts w:ascii="Calibri" w:eastAsia="Calibri" w:hAnsi="Calibri" w:cs="Times New Roman"/>
          <w:b/>
          <w:bCs/>
          <w:i/>
          <w:iCs/>
          <w:color w:val="767171"/>
          <w:sz w:val="26"/>
          <w:szCs w:val="26"/>
          <w:lang w:val="es-ES" w:eastAsia="es-ES"/>
        </w:rPr>
        <w:t>Orden Público</w:t>
      </w:r>
      <w:r w:rsidRPr="00DE2E6C">
        <w:rPr>
          <w:rFonts w:ascii="Calibri" w:eastAsia="Calibri" w:hAnsi="Calibri" w:cs="Times New Roman"/>
          <w:bCs/>
          <w:iCs/>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w:t>
      </w:r>
    </w:p>
    <w:p w:rsidR="00DE2E6C" w:rsidRPr="00DE2E6C" w:rsidRDefault="00DE2E6C" w:rsidP="00DE2E6C">
      <w:pPr>
        <w:spacing w:after="0" w:line="240" w:lineRule="auto"/>
        <w:jc w:val="both"/>
        <w:rPr>
          <w:rFonts w:ascii="Calibri" w:eastAsia="Calibri" w:hAnsi="Calibri" w:cs="Times New Roman"/>
          <w:b/>
          <w:bCs/>
          <w:i/>
          <w:iCs/>
          <w:color w:val="767171"/>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4"/>
          <w:lang w:val="es-ES" w:eastAsia="es-ES"/>
        </w:rPr>
      </w:pPr>
      <w:r w:rsidRPr="00DE2E6C">
        <w:rPr>
          <w:rFonts w:ascii="Calibri" w:eastAsia="Calibri" w:hAnsi="Calibri" w:cs="Times New Roman"/>
          <w:color w:val="767171"/>
          <w:sz w:val="26"/>
          <w:szCs w:val="26"/>
          <w:lang w:val="es-ES" w:eastAsia="es-ES"/>
        </w:rPr>
        <w:t xml:space="preserve">El ciudadano </w:t>
      </w:r>
      <w:r w:rsidRPr="00DE2E6C">
        <w:rPr>
          <w:rFonts w:ascii="Calibri" w:eastAsia="Calibri" w:hAnsi="Calibri" w:cs="Times New Roman"/>
          <w:bCs/>
          <w:iCs/>
          <w:color w:val="767171"/>
          <w:sz w:val="26"/>
          <w:szCs w:val="26"/>
          <w:lang w:val="es-ES" w:eastAsia="es-ES"/>
        </w:rPr>
        <w:t>*****</w:t>
      </w:r>
      <w:r w:rsidRPr="00DE2E6C">
        <w:rPr>
          <w:rFonts w:ascii="Calibri" w:eastAsia="Calibri" w:hAnsi="Calibri" w:cs="Times New Roman"/>
          <w:color w:val="767171"/>
          <w:sz w:val="26"/>
          <w:szCs w:val="26"/>
          <w:lang w:val="es-ES" w:eastAsia="es-ES"/>
        </w:rPr>
        <w:t xml:space="preserve">, promovió el presente proceso, con el carácter de Apoderado Legal de la sociedad mercantil denominada </w:t>
      </w:r>
      <w:r w:rsidRPr="00DE2E6C">
        <w:rPr>
          <w:rFonts w:ascii="Calibri" w:eastAsia="Calibri" w:hAnsi="Calibri" w:cs="Times New Roman"/>
          <w:i/>
          <w:color w:val="767171"/>
          <w:sz w:val="26"/>
          <w:szCs w:val="26"/>
          <w:lang w:val="es-ES" w:eastAsia="es-ES"/>
        </w:rPr>
        <w:t>*****</w:t>
      </w:r>
      <w:r w:rsidRPr="00DE2E6C">
        <w:rPr>
          <w:rFonts w:ascii="Calibri" w:eastAsia="Calibri" w:hAnsi="Calibri" w:cs="Times New Roman"/>
          <w:color w:val="767171"/>
          <w:sz w:val="26"/>
          <w:szCs w:val="26"/>
          <w:lang w:val="es-ES" w:eastAsia="es-ES"/>
        </w:rPr>
        <w:t>, lo que acredita mediante la Escritura</w:t>
      </w:r>
      <w:r w:rsidRPr="00DE2E6C">
        <w:rPr>
          <w:rFonts w:ascii="Calibri" w:eastAsia="Calibri" w:hAnsi="Calibri" w:cs="Times New Roman"/>
          <w:color w:val="767171"/>
          <w:sz w:val="26"/>
          <w:szCs w:val="24"/>
          <w:lang w:val="es-ES" w:eastAsia="es-ES"/>
        </w:rPr>
        <w:t xml:space="preserve"> Pública número 49,153 cuarenta y nueve mil ciento cincuenta y tres; de fecha 9 nueve de julio del año 2008 dos mil ocho; tirada ante la fe del Licenciado *****; titular de la Notaría Pública número 14 catorce, en legal ejercicio en el Partido Judicial de León, Guanajuato; en la cual se hizo constar que la sociedad mercantil antes citada; a través de su Administrador Único, señor *****, otorga a favor del ciudadano *****, un Poder General para pleitos y cobranzas y actos de administración, con todas las facultades generales y especiales que de acuerdo a la ley requieran cláusula especial; según se aprecia en el contenido de la Cláusula Primera de la Escritura pública antes mencionada. . . . . . . . . . . . . . . . . . . . . . . . . . . . . . . . . . . . . . .</w:t>
      </w:r>
    </w:p>
    <w:p w:rsidR="00DE2E6C" w:rsidRPr="00DE2E6C" w:rsidRDefault="00DE2E6C" w:rsidP="00DE2E6C">
      <w:pPr>
        <w:spacing w:after="0" w:line="240" w:lineRule="auto"/>
        <w:jc w:val="both"/>
        <w:rPr>
          <w:rFonts w:ascii="Calibri" w:eastAsia="Calibri" w:hAnsi="Calibri" w:cs="Times New Roman"/>
          <w:color w:val="767171"/>
          <w:sz w:val="26"/>
          <w:szCs w:val="24"/>
          <w:lang w:val="es-ES" w:eastAsia="es-ES"/>
        </w:rPr>
      </w:pPr>
    </w:p>
    <w:p w:rsidR="00DE2E6C" w:rsidRPr="00DE2E6C" w:rsidRDefault="00DE2E6C" w:rsidP="00DE2E6C">
      <w:pPr>
        <w:autoSpaceDE w:val="0"/>
        <w:autoSpaceDN w:val="0"/>
        <w:adjustRightInd w:val="0"/>
        <w:spacing w:after="0" w:line="240" w:lineRule="auto"/>
        <w:ind w:firstLine="708"/>
        <w:jc w:val="both"/>
        <w:rPr>
          <w:rFonts w:ascii="Calibri" w:eastAsia="Times New Roman" w:hAnsi="Calibri" w:cs="Arial"/>
          <w:color w:val="767171"/>
          <w:sz w:val="26"/>
          <w:szCs w:val="24"/>
          <w:lang w:val="es-ES" w:eastAsia="es-ES"/>
        </w:rPr>
      </w:pPr>
      <w:r w:rsidRPr="00DE2E6C">
        <w:rPr>
          <w:rFonts w:ascii="Calibri" w:eastAsia="Times New Roman" w:hAnsi="Calibri" w:cs="Arial"/>
          <w:color w:val="767171"/>
          <w:sz w:val="26"/>
          <w:szCs w:val="24"/>
          <w:lang w:val="es-ES" w:eastAsia="es-ES"/>
        </w:rPr>
        <w:t xml:space="preserve">Escritura que en copia certificada, por el propio Notario Público número 14 catorce en legal ejercicio en este Municipio; obra en el secreto de este juzgado (misma que es visible en autos, a fojas 16 dieciséis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 comparece, promueve y actúa en el presente proceso, con plenas facultades para representar a </w:t>
      </w:r>
      <w:r w:rsidRPr="00DE2E6C">
        <w:rPr>
          <w:rFonts w:ascii="Calibri" w:eastAsia="Times New Roman" w:hAnsi="Calibri" w:cs="Arial"/>
          <w:i/>
          <w:color w:val="767171"/>
          <w:sz w:val="26"/>
          <w:szCs w:val="24"/>
          <w:lang w:val="es-ES" w:eastAsia="es-ES"/>
        </w:rPr>
        <w:t>*****</w:t>
      </w:r>
      <w:r w:rsidRPr="00DE2E6C">
        <w:rPr>
          <w:rFonts w:ascii="Calibri" w:eastAsia="Times New Roman" w:hAnsi="Calibri" w:cs="Arial"/>
          <w:color w:val="767171"/>
          <w:sz w:val="26"/>
          <w:szCs w:val="24"/>
          <w:lang w:val="es-ES" w:eastAsia="es-ES"/>
        </w:rPr>
        <w:t xml:space="preserve">. . . . . . . . . . . . . . . . . . . . . . . . . . . . . . . . . . . . </w:t>
      </w:r>
    </w:p>
    <w:p w:rsidR="00DE2E6C" w:rsidRPr="00DE2E6C" w:rsidRDefault="00DE2E6C" w:rsidP="00DE2E6C">
      <w:pPr>
        <w:autoSpaceDE w:val="0"/>
        <w:autoSpaceDN w:val="0"/>
        <w:adjustRightInd w:val="0"/>
        <w:spacing w:after="0" w:line="240" w:lineRule="auto"/>
        <w:ind w:firstLine="708"/>
        <w:jc w:val="both"/>
        <w:rPr>
          <w:rFonts w:ascii="Calibri" w:eastAsia="Times New Roman" w:hAnsi="Calibri" w:cs="Arial"/>
          <w:color w:val="767171"/>
          <w:sz w:val="26"/>
          <w:szCs w:val="24"/>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r w:rsidRPr="00DE2E6C">
        <w:rPr>
          <w:rFonts w:ascii="Calibri" w:eastAsia="Calibri" w:hAnsi="Calibri" w:cs="Times New Roman"/>
          <w:b/>
          <w:bCs/>
          <w:i/>
          <w:iCs/>
          <w:color w:val="767171"/>
          <w:sz w:val="26"/>
          <w:szCs w:val="24"/>
          <w:lang w:val="es-ES" w:eastAsia="es-ES"/>
        </w:rPr>
        <w:t xml:space="preserve">QUINTO.- </w:t>
      </w:r>
      <w:r w:rsidRPr="00DE2E6C">
        <w:rPr>
          <w:rFonts w:ascii="Calibri" w:eastAsia="Calibri" w:hAnsi="Calibri" w:cs="Times New Roman"/>
          <w:color w:val="767171"/>
          <w:sz w:val="26"/>
          <w:szCs w:val="26"/>
          <w:lang w:val="es-ES" w:eastAsia="es-ES"/>
        </w:rPr>
        <w:t xml:space="preserve">Por cuestión de </w:t>
      </w:r>
      <w:r w:rsidRPr="00DE2E6C">
        <w:rPr>
          <w:rFonts w:ascii="Calibri" w:eastAsia="Calibri" w:hAnsi="Calibri" w:cs="Times New Roman"/>
          <w:b/>
          <w:i/>
          <w:iCs/>
          <w:color w:val="767171"/>
          <w:sz w:val="26"/>
          <w:szCs w:val="26"/>
          <w:lang w:val="es-ES" w:eastAsia="es-ES"/>
        </w:rPr>
        <w:t xml:space="preserve">orden público </w:t>
      </w:r>
      <w:r w:rsidRPr="00DE2E6C">
        <w:rPr>
          <w:rFonts w:ascii="Calibri" w:eastAsia="Calibri" w:hAnsi="Calibri" w:cs="Times New Roman"/>
          <w:color w:val="767171"/>
          <w:sz w:val="26"/>
          <w:szCs w:val="26"/>
          <w:lang w:val="es-ES" w:eastAsia="es-ES"/>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DE2E6C" w:rsidRPr="00DE2E6C" w:rsidRDefault="00DE2E6C" w:rsidP="00DE2E6C">
      <w:pPr>
        <w:spacing w:after="0" w:line="240" w:lineRule="auto"/>
        <w:jc w:val="both"/>
        <w:rPr>
          <w:rFonts w:ascii="Calibri" w:eastAsia="Calibri" w:hAnsi="Calibri" w:cs="Arial"/>
          <w:color w:val="767171"/>
          <w:sz w:val="26"/>
          <w:lang w:val="es-ES" w:eastAsia="es-ES"/>
        </w:rPr>
      </w:pPr>
    </w:p>
    <w:p w:rsidR="00DE2E6C" w:rsidRPr="00DE2E6C" w:rsidRDefault="00DE2E6C" w:rsidP="00DE2E6C">
      <w:pPr>
        <w:spacing w:after="0" w:line="240" w:lineRule="auto"/>
        <w:ind w:firstLine="708"/>
        <w:jc w:val="both"/>
        <w:rPr>
          <w:rFonts w:ascii="Calibri" w:eastAsia="Calibri" w:hAnsi="Calibri" w:cs="Arial"/>
          <w:color w:val="767171"/>
          <w:sz w:val="26"/>
          <w:lang w:eastAsia="es-ES"/>
        </w:rPr>
      </w:pPr>
      <w:r w:rsidRPr="00DE2E6C">
        <w:rPr>
          <w:rFonts w:ascii="Calibri" w:eastAsia="Calibri" w:hAnsi="Calibri" w:cs="Arial"/>
          <w:color w:val="767171"/>
          <w:sz w:val="26"/>
          <w:lang w:eastAsia="es-ES"/>
        </w:rPr>
        <w:t xml:space="preserve">En la presente causa administrativa, las autoridades demandadas </w:t>
      </w:r>
      <w:r w:rsidRPr="00DE2E6C">
        <w:rPr>
          <w:rFonts w:ascii="Calibri" w:eastAsia="Calibri" w:hAnsi="Calibri" w:cs="Arial"/>
          <w:b/>
          <w:color w:val="767171"/>
          <w:sz w:val="26"/>
          <w:lang w:eastAsia="es-ES"/>
        </w:rPr>
        <w:t xml:space="preserve">no  </w:t>
      </w:r>
      <w:r w:rsidRPr="00DE2E6C">
        <w:rPr>
          <w:rFonts w:ascii="Calibri" w:eastAsia="Calibri" w:hAnsi="Calibri" w:cs="Times New Roman"/>
          <w:b/>
          <w:color w:val="767171"/>
          <w:sz w:val="26"/>
          <w:szCs w:val="26"/>
          <w:lang w:eastAsia="es-ES"/>
        </w:rPr>
        <w:t>expresaron</w:t>
      </w:r>
      <w:r w:rsidRPr="00DE2E6C">
        <w:rPr>
          <w:rFonts w:ascii="Calibri" w:eastAsia="Calibri" w:hAnsi="Calibri" w:cs="Times New Roman"/>
          <w:color w:val="767171"/>
          <w:sz w:val="26"/>
          <w:szCs w:val="26"/>
          <w:lang w:eastAsia="es-ES"/>
        </w:rPr>
        <w:t xml:space="preserve"> c</w:t>
      </w:r>
      <w:r w:rsidRPr="00DE2E6C">
        <w:rPr>
          <w:rFonts w:ascii="Calibri" w:eastAsia="Calibri" w:hAnsi="Calibri" w:cs="Arial"/>
          <w:color w:val="767171"/>
          <w:sz w:val="26"/>
          <w:lang w:eastAsia="es-ES"/>
        </w:rPr>
        <w:t xml:space="preserve">ausales de improcedencia o sobreseimiento, de las previstas en los artículos 261 y 262, del Código de Procedimiento y Justicia Administrativa para el Estado y los Municipios de Guanajuato; en tanto que de oficio, este Juzgador </w:t>
      </w:r>
      <w:r w:rsidRPr="00DE2E6C">
        <w:rPr>
          <w:rFonts w:ascii="Calibri" w:eastAsia="Calibri" w:hAnsi="Calibri" w:cs="Arial"/>
          <w:b/>
          <w:color w:val="767171"/>
          <w:sz w:val="26"/>
          <w:lang w:eastAsia="es-ES"/>
        </w:rPr>
        <w:t>no advierte</w:t>
      </w:r>
      <w:r w:rsidRPr="00DE2E6C">
        <w:rPr>
          <w:rFonts w:ascii="Calibri" w:eastAsia="Calibri" w:hAnsi="Calibri" w:cs="Arial"/>
          <w:color w:val="767171"/>
          <w:sz w:val="26"/>
          <w:lang w:eastAsia="es-ES"/>
        </w:rPr>
        <w:t xml:space="preserve"> la actualización de ninguna que impida el </w:t>
      </w:r>
      <w:r w:rsidRPr="00DE2E6C">
        <w:rPr>
          <w:rFonts w:ascii="Calibri" w:eastAsia="Calibri" w:hAnsi="Calibri" w:cs="Times New Roman"/>
          <w:color w:val="767171"/>
          <w:sz w:val="26"/>
          <w:szCs w:val="24"/>
          <w:lang w:eastAsia="es-ES"/>
        </w:rPr>
        <w:t>estudio del fondo del negocio en cuanto a la resolución impugnada</w:t>
      </w:r>
      <w:r w:rsidRPr="00DE2E6C">
        <w:rPr>
          <w:rFonts w:ascii="Calibri" w:eastAsia="Calibri" w:hAnsi="Calibri" w:cs="Times New Roman"/>
          <w:color w:val="767171"/>
          <w:sz w:val="26"/>
          <w:szCs w:val="27"/>
          <w:lang w:eastAsia="es-ES"/>
        </w:rPr>
        <w:t>. . . . . . . . . . . . . . . . . . . . . . . . . . . . . . . . . . . . . .</w:t>
      </w:r>
    </w:p>
    <w:p w:rsidR="00DE2E6C" w:rsidRPr="00DE2E6C" w:rsidRDefault="00DE2E6C" w:rsidP="00DE2E6C">
      <w:pPr>
        <w:spacing w:after="0" w:line="240" w:lineRule="auto"/>
        <w:jc w:val="both"/>
        <w:rPr>
          <w:rFonts w:ascii="Calibri" w:eastAsia="Calibri" w:hAnsi="Calibri" w:cs="Times New Roman"/>
          <w:color w:val="767171"/>
          <w:sz w:val="26"/>
          <w:szCs w:val="24"/>
          <w:lang w:val="es-ES" w:eastAsia="es-ES"/>
        </w:rPr>
      </w:pPr>
    </w:p>
    <w:p w:rsidR="00DE2E6C" w:rsidRPr="00DE2E6C" w:rsidRDefault="00DE2E6C" w:rsidP="00DE2E6C">
      <w:pPr>
        <w:spacing w:after="0" w:line="240" w:lineRule="auto"/>
        <w:ind w:firstLine="708"/>
        <w:jc w:val="both"/>
        <w:rPr>
          <w:rFonts w:ascii="Calibri" w:eastAsia="Calibri" w:hAnsi="Calibri" w:cs="Calibri"/>
          <w:b/>
          <w:bCs/>
          <w:i/>
          <w:iCs/>
          <w:color w:val="767171"/>
          <w:sz w:val="26"/>
          <w:szCs w:val="26"/>
          <w:lang w:val="es-ES" w:eastAsia="es-ES"/>
        </w:rPr>
      </w:pPr>
      <w:r w:rsidRPr="00DE2E6C">
        <w:rPr>
          <w:rFonts w:ascii="Calibri" w:eastAsia="Calibri" w:hAnsi="Calibri" w:cs="Arial"/>
          <w:b/>
          <w:i/>
          <w:color w:val="767171"/>
          <w:sz w:val="26"/>
          <w:szCs w:val="27"/>
          <w:lang w:val="es-ES" w:eastAsia="es-ES"/>
        </w:rPr>
        <w:t>SEXTO.-</w:t>
      </w:r>
      <w:r w:rsidRPr="00DE2E6C">
        <w:rPr>
          <w:rFonts w:ascii="Calibri" w:eastAsia="Calibri" w:hAnsi="Calibri" w:cs="Arial"/>
          <w:color w:val="767171"/>
          <w:sz w:val="26"/>
          <w:szCs w:val="27"/>
          <w:lang w:val="es-ES" w:eastAsia="es-ES"/>
        </w:rPr>
        <w:t xml:space="preserve"> Este Juzgador, </w:t>
      </w:r>
      <w:r w:rsidRPr="00DE2E6C">
        <w:rPr>
          <w:rFonts w:ascii="Calibri" w:eastAsia="Calibri" w:hAnsi="Calibri" w:cs="Times New Roman"/>
          <w:color w:val="767171"/>
          <w:sz w:val="26"/>
          <w:szCs w:val="27"/>
          <w:lang w:val="es-ES" w:eastAsia="es-ES"/>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val="es-ES" w:eastAsia="es-ES"/>
        </w:rPr>
      </w:pPr>
      <w:r w:rsidRPr="00DE2E6C">
        <w:rPr>
          <w:rFonts w:ascii="Calibri" w:eastAsia="Calibri" w:hAnsi="Calibri" w:cs="Times New Roman"/>
          <w:color w:val="767171"/>
          <w:sz w:val="26"/>
          <w:szCs w:val="27"/>
          <w:lang w:val="es-ES" w:eastAsia="es-ES"/>
        </w:rPr>
        <w:t xml:space="preserve">Así las cosas, con fecha 10 diez de julio del año 2014 dos mil catorce, a la petición formulada el día 3 tres de ese mismo mes y año, las autoridades </w:t>
      </w:r>
    </w:p>
    <w:p w:rsidR="00DE2E6C" w:rsidRPr="00DE2E6C" w:rsidRDefault="00DE2E6C" w:rsidP="00DE2E6C">
      <w:pPr>
        <w:spacing w:after="0" w:line="240" w:lineRule="auto"/>
        <w:ind w:firstLine="708"/>
        <w:jc w:val="right"/>
        <w:rPr>
          <w:rFonts w:ascii="Calibri" w:eastAsia="Calibri" w:hAnsi="Calibri" w:cs="Times New Roman"/>
          <w:b/>
          <w:bCs/>
          <w:color w:val="767171"/>
          <w:sz w:val="26"/>
          <w:szCs w:val="26"/>
          <w:lang w:val="es-ES" w:eastAsia="es-ES"/>
        </w:rPr>
      </w:pPr>
      <w:r w:rsidRPr="00DE2E6C">
        <w:rPr>
          <w:rFonts w:ascii="Calibri" w:eastAsia="Calibri" w:hAnsi="Calibri" w:cs="Times New Roman"/>
          <w:b/>
          <w:bCs/>
          <w:color w:val="767171"/>
          <w:sz w:val="26"/>
          <w:szCs w:val="26"/>
          <w:lang w:val="es-ES" w:eastAsia="es-ES"/>
        </w:rPr>
        <w:t>Expediente número 400/2014-JN</w:t>
      </w: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val="es-ES" w:eastAsia="es-ES"/>
        </w:rPr>
      </w:pPr>
    </w:p>
    <w:p w:rsidR="00DE2E6C" w:rsidRPr="00DE2E6C" w:rsidRDefault="00DE2E6C" w:rsidP="00DE2E6C">
      <w:pPr>
        <w:spacing w:after="0" w:line="240" w:lineRule="auto"/>
        <w:jc w:val="both"/>
        <w:rPr>
          <w:rFonts w:ascii="Calibri" w:eastAsia="Calibri" w:hAnsi="Calibri" w:cs="Times New Roman"/>
          <w:color w:val="767171"/>
          <w:sz w:val="26"/>
          <w:szCs w:val="27"/>
          <w:lang w:val="es-ES" w:eastAsia="es-ES"/>
        </w:rPr>
      </w:pPr>
      <w:r w:rsidRPr="00DE2E6C">
        <w:rPr>
          <w:rFonts w:ascii="Calibri" w:eastAsia="Calibri" w:hAnsi="Calibri" w:cs="Times New Roman"/>
          <w:color w:val="767171"/>
          <w:sz w:val="26"/>
          <w:szCs w:val="27"/>
          <w:lang w:val="es-ES" w:eastAsia="es-ES"/>
        </w:rPr>
        <w:t xml:space="preserve">demandadas emitieron el oficio que se impugna, en el que se le negó otorgarle el permiso de anuncio espectacular en azotea, publicitario; </w:t>
      </w:r>
      <w:r w:rsidRPr="00DE2E6C">
        <w:rPr>
          <w:rFonts w:ascii="Calibri" w:eastAsia="Calibri" w:hAnsi="Calibri" w:cs="Times New Roman"/>
          <w:bCs/>
          <w:color w:val="767171"/>
          <w:sz w:val="26"/>
          <w:szCs w:val="26"/>
          <w:lang w:val="es-ES" w:eastAsia="es-ES"/>
        </w:rPr>
        <w:t>respecto del anuncio instalado en el inmueble ubicado en *****</w:t>
      </w:r>
      <w:r w:rsidRPr="00DE2E6C">
        <w:rPr>
          <w:rFonts w:ascii="Calibri" w:eastAsia="Calibri" w:hAnsi="Calibri" w:cs="Times New Roman"/>
          <w:color w:val="767171"/>
          <w:sz w:val="26"/>
          <w:szCs w:val="27"/>
          <w:lang w:val="es-ES" w:eastAsia="es-ES"/>
        </w:rPr>
        <w:t xml:space="preserve">; por las razones contenidas en el mismo, que son de que se excede la altura de 2.20 dos punto veinte metros desde el nivel de azotea a la base de la carátula y que el inmueble solicitado cuenta únicamente con una superficie de 180.00 ciento ochenta metros cuadrados; por lo que la superficie de azotea no cumple con los 250 doscientos cincuenta metros cuadrados, mínimo requerido para la instalación de un anuncio espectacular; así como que las dimensiones de la carátula del anuncio manifestadas, exceden las máximas permitidas. . . . . . . . . . . </w:t>
      </w: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r w:rsidRPr="00DE2E6C">
        <w:rPr>
          <w:rFonts w:ascii="Calibri" w:eastAsia="Calibri" w:hAnsi="Calibri" w:cs="Times New Roman"/>
          <w:bCs/>
          <w:color w:val="767171"/>
          <w:sz w:val="26"/>
          <w:szCs w:val="26"/>
          <w:lang w:val="es-ES" w:eastAsia="es-ES"/>
        </w:rPr>
        <w:t xml:space="preserve">Ello de conformidad con lo señalado en el artículo 397, fracciones I, II y VI, del Código Reglamentario de Desarrollo Urbano para el Municipio de León, Guanajuato. . . . . . . . . . . . . . . . . . . . . . . . . . . . . . . . . . . . . . . . . . . . . . . . . . . .  . . . . . . </w:t>
      </w:r>
    </w:p>
    <w:p w:rsidR="00DE2E6C" w:rsidRPr="00DE2E6C" w:rsidRDefault="00DE2E6C" w:rsidP="00DE2E6C">
      <w:pPr>
        <w:spacing w:after="0" w:line="240" w:lineRule="auto"/>
        <w:jc w:val="both"/>
        <w:rPr>
          <w:rFonts w:ascii="Calibri" w:eastAsia="Calibri" w:hAnsi="Calibri" w:cs="Times New Roman"/>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r w:rsidRPr="00DE2E6C">
        <w:rPr>
          <w:rFonts w:ascii="Calibri" w:eastAsia="Calibri" w:hAnsi="Calibri" w:cs="Times New Roman"/>
          <w:color w:val="767171"/>
          <w:sz w:val="26"/>
          <w:szCs w:val="26"/>
          <w:lang w:val="es-ES" w:eastAsia="es-ES"/>
        </w:rPr>
        <w:t>Resolución que la parte actora considera ilegal, toda vez que estima que carece de fundamentación y motivación; que el Código Reglamentario de Desarrollo Urbano para este municipio es inconstitucional, porque se emitió de manera independiente y autónoma sin ceñirse a ninguna ley; y que no puede regular anuncios preexistentes, cuya instalación representó un gasto muy fuerte; y que el acto impugnado no está firmado por el titular de la Dirección General de Desarrollo Urbano, sino que solo contiene un sello y además, está suscrito por dos personas que carecen de facultades para resolver sobre lo solicitado. . . . . . .</w:t>
      </w:r>
    </w:p>
    <w:p w:rsidR="00DE2E6C" w:rsidRPr="00DE2E6C" w:rsidRDefault="00DE2E6C" w:rsidP="00DE2E6C">
      <w:pPr>
        <w:spacing w:after="0" w:line="240" w:lineRule="auto"/>
        <w:jc w:val="both"/>
        <w:rPr>
          <w:rFonts w:ascii="Calibri" w:eastAsia="Calibri" w:hAnsi="Calibri" w:cs="Times New Roman"/>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r w:rsidRPr="00DE2E6C">
        <w:rPr>
          <w:rFonts w:ascii="Calibri" w:eastAsia="Calibri" w:hAnsi="Calibri" w:cs="Times New Roman"/>
          <w:color w:val="767171"/>
          <w:sz w:val="26"/>
          <w:szCs w:val="26"/>
          <w:lang w:val="es-ES" w:eastAsia="es-ES"/>
        </w:rPr>
        <w:t xml:space="preserve">Por su parte las autoridades enjuiciadas, en relación a lo expresado por la parte actora, manifestaron que son inoperantes e infundados los conceptos de impugnación planteados; sostuvieron la legalidad de lo actuado, lo que consideraron debidamente fundado y motivado; y que sí estampó su firma en el oficio impugnado, por lo que en nada afecta que hayan firmado otros dos funcionarios demandados.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p>
    <w:p w:rsidR="00DE2E6C" w:rsidRPr="00DE2E6C" w:rsidRDefault="00DE2E6C" w:rsidP="00DE2E6C">
      <w:pPr>
        <w:spacing w:after="0" w:line="240" w:lineRule="auto"/>
        <w:jc w:val="both"/>
        <w:rPr>
          <w:rFonts w:ascii="Calibri" w:eastAsia="Calibri" w:hAnsi="Calibri" w:cs="Times New Roman"/>
          <w:color w:val="767171"/>
          <w:sz w:val="26"/>
          <w:szCs w:val="26"/>
          <w:lang w:val="es-ES" w:eastAsia="es-ES"/>
        </w:rPr>
      </w:pPr>
      <w:r w:rsidRPr="00DE2E6C">
        <w:rPr>
          <w:rFonts w:ascii="Calibri" w:eastAsia="Calibri" w:hAnsi="Calibri" w:cs="Times New Roman"/>
          <w:color w:val="767171"/>
          <w:sz w:val="26"/>
          <w:szCs w:val="26"/>
          <w:lang w:val="es-ES" w:eastAsia="es-ES"/>
        </w:rPr>
        <w:tab/>
      </w:r>
      <w:r w:rsidRPr="00DE2E6C">
        <w:rPr>
          <w:rFonts w:ascii="Calibri" w:eastAsia="Calibri" w:hAnsi="Calibri" w:cs="Calibri"/>
          <w:color w:val="767171"/>
          <w:sz w:val="26"/>
          <w:szCs w:val="24"/>
          <w:lang w:val="es-ES" w:eastAsia="es-ES"/>
        </w:rPr>
        <w:t>Así las cosas, la “</w:t>
      </w:r>
      <w:r w:rsidRPr="00DE2E6C">
        <w:rPr>
          <w:rFonts w:ascii="Calibri" w:eastAsia="Calibri" w:hAnsi="Calibri" w:cs="Calibri"/>
          <w:i/>
          <w:color w:val="767171"/>
          <w:sz w:val="26"/>
          <w:szCs w:val="24"/>
          <w:lang w:val="es-ES" w:eastAsia="es-ES"/>
        </w:rPr>
        <w:t>litis”</w:t>
      </w:r>
      <w:r w:rsidRPr="00DE2E6C">
        <w:rPr>
          <w:rFonts w:ascii="Calibri" w:eastAsia="Calibri" w:hAnsi="Calibri" w:cs="Calibri"/>
          <w:color w:val="767171"/>
          <w:sz w:val="26"/>
          <w:szCs w:val="24"/>
          <w:lang w:val="es-ES" w:eastAsia="es-ES"/>
        </w:rPr>
        <w:t xml:space="preserve"> planteada se hace consistir en determinar la legalidad o ilegalidad de la </w:t>
      </w:r>
      <w:r w:rsidRPr="00DE2E6C">
        <w:rPr>
          <w:rFonts w:ascii="Calibri" w:eastAsia="Calibri" w:hAnsi="Calibri" w:cs="Calibri"/>
          <w:color w:val="767171"/>
          <w:sz w:val="26"/>
          <w:szCs w:val="26"/>
          <w:lang w:val="es-ES" w:eastAsia="es-ES"/>
        </w:rPr>
        <w:t xml:space="preserve">resolución impugnada, emitida en fecha 10 diez de julio del año 2014 dos mil catorce. . . . . </w:t>
      </w:r>
      <w:r w:rsidRPr="00DE2E6C">
        <w:rPr>
          <w:rFonts w:ascii="Calibri" w:eastAsia="Calibri" w:hAnsi="Calibri" w:cs="Times New Roman"/>
          <w:color w:val="767171"/>
          <w:sz w:val="26"/>
          <w:szCs w:val="26"/>
          <w:lang w:val="es-ES" w:eastAsia="es-ES"/>
        </w:rPr>
        <w:t xml:space="preserve">. . . . . . . . . . . . . . . . . . . . . . . . . . . . . . . . . . . </w:t>
      </w:r>
    </w:p>
    <w:p w:rsidR="00DE2E6C" w:rsidRPr="00DE2E6C" w:rsidRDefault="00DE2E6C" w:rsidP="00DE2E6C">
      <w:pPr>
        <w:spacing w:after="0" w:line="240" w:lineRule="auto"/>
        <w:jc w:val="both"/>
        <w:rPr>
          <w:rFonts w:ascii="Calibri" w:eastAsia="Calibri" w:hAnsi="Calibri" w:cs="Times New Roman"/>
          <w:color w:val="767171"/>
          <w:sz w:val="26"/>
          <w:szCs w:val="24"/>
          <w:lang w:val="es-ES"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eastAsia="es-ES"/>
        </w:rPr>
      </w:pPr>
      <w:r w:rsidRPr="00DE2E6C">
        <w:rPr>
          <w:rFonts w:ascii="Calibri" w:eastAsia="Calibri" w:hAnsi="Calibri" w:cs="Times New Roman"/>
          <w:b/>
          <w:bCs/>
          <w:i/>
          <w:iCs/>
          <w:color w:val="767171"/>
          <w:sz w:val="26"/>
          <w:szCs w:val="24"/>
          <w:lang w:eastAsia="es-ES"/>
        </w:rPr>
        <w:t xml:space="preserve">SÉPTIMO.- </w:t>
      </w:r>
      <w:r w:rsidRPr="00DE2E6C">
        <w:rPr>
          <w:rFonts w:ascii="Calibri" w:eastAsia="Calibri" w:hAnsi="Calibri" w:cs="Calibri"/>
          <w:color w:val="767171"/>
          <w:sz w:val="26"/>
          <w:szCs w:val="26"/>
          <w:lang w:eastAsia="es-ES"/>
        </w:rPr>
        <w:t xml:space="preserve">No existiendo impedimento legal, se procede a analizar los conceptos de impugnación hechos valer por el enjuiciante, </w:t>
      </w:r>
      <w:r w:rsidRPr="00DE2E6C">
        <w:rPr>
          <w:rFonts w:ascii="Calibri" w:eastAsia="Calibri" w:hAnsi="Calibri" w:cs="Times New Roman"/>
          <w:color w:val="767171"/>
          <w:sz w:val="26"/>
          <w:szCs w:val="24"/>
          <w:lang w:eastAsia="es-ES"/>
        </w:rPr>
        <w:t xml:space="preserve">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 los conceptos de impugnación que considera trascendental para emitir la presente resolución, como lo son los que se señalan como </w:t>
      </w:r>
      <w:r w:rsidRPr="00DE2E6C">
        <w:rPr>
          <w:rFonts w:ascii="Calibri" w:eastAsia="Calibri" w:hAnsi="Calibri" w:cs="Times New Roman"/>
          <w:b/>
          <w:color w:val="767171"/>
          <w:sz w:val="26"/>
          <w:szCs w:val="24"/>
          <w:lang w:eastAsia="es-ES"/>
        </w:rPr>
        <w:t>Primero y Tercer</w:t>
      </w:r>
      <w:r w:rsidRPr="00DE2E6C">
        <w:rPr>
          <w:rFonts w:ascii="Calibri" w:eastAsia="Calibri" w:hAnsi="Calibri" w:cs="Times New Roman"/>
          <w:b/>
          <w:bCs/>
          <w:color w:val="767171"/>
          <w:sz w:val="26"/>
          <w:szCs w:val="24"/>
          <w:lang w:eastAsia="es-ES"/>
        </w:rPr>
        <w:t>o;</w:t>
      </w:r>
      <w:r w:rsidRPr="00DE2E6C">
        <w:rPr>
          <w:rFonts w:ascii="Calibri" w:eastAsia="Calibri" w:hAnsi="Calibri" w:cs="Times New Roman"/>
          <w:color w:val="767171"/>
          <w:sz w:val="26"/>
          <w:szCs w:val="24"/>
          <w:lang w:eastAsia="es-ES"/>
        </w:rPr>
        <w:t xml:space="preserve"> sin necesidad de transcribirlos en su totalidad, así como tampoco el restante concepto vertido por la parte actora; sirviendo para ello el criterio sostenido por el Tribunal Colegiado de Circuito, mencionado en la siguiente </w:t>
      </w:r>
      <w:r w:rsidRPr="00DE2E6C">
        <w:rPr>
          <w:rFonts w:ascii="Calibri" w:eastAsia="Calibri" w:hAnsi="Calibri" w:cs="Times New Roman"/>
          <w:color w:val="767171"/>
          <w:sz w:val="26"/>
          <w:szCs w:val="26"/>
          <w:lang w:eastAsia="es-ES"/>
        </w:rPr>
        <w:t xml:space="preserve">Jurisprudencia: . . . . . . . . . . . . . . . . . . . . . . . . . . . . . . . . . . . . . . . . . . . . . . . </w:t>
      </w:r>
    </w:p>
    <w:p w:rsidR="00DE2E6C" w:rsidRPr="00DE2E6C" w:rsidRDefault="00DE2E6C" w:rsidP="00DE2E6C">
      <w:pPr>
        <w:spacing w:after="0" w:line="240" w:lineRule="auto"/>
        <w:ind w:firstLine="708"/>
        <w:jc w:val="both"/>
        <w:rPr>
          <w:rFonts w:ascii="Times New Roman" w:eastAsia="Calibri" w:hAnsi="Times New Roman" w:cs="Times New Roman"/>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r w:rsidRPr="00DE2E6C">
        <w:rPr>
          <w:rFonts w:ascii="Calibri" w:eastAsia="Calibri" w:hAnsi="Calibri" w:cs="Times New Roman"/>
          <w:b/>
          <w:bCs/>
          <w:i/>
          <w:iCs/>
          <w:color w:val="767171"/>
          <w:sz w:val="26"/>
          <w:szCs w:val="24"/>
          <w:lang w:val="es-ES" w:eastAsia="es-ES"/>
        </w:rPr>
        <w:t xml:space="preserve">“CONCEPTOS DE VIOLACIÓN. EL JUEZ NO ESTÁ OBLIGADO A TRANSCRIBIRLOS. </w:t>
      </w:r>
      <w:r w:rsidRPr="00DE2E6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2E6C">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E2E6C">
        <w:rPr>
          <w:rFonts w:ascii="Calibri" w:eastAsia="Calibri" w:hAnsi="Calibri" w:cs="Calibri"/>
          <w:i/>
          <w:iCs/>
          <w:color w:val="767171"/>
          <w:sz w:val="26"/>
          <w:szCs w:val="24"/>
          <w:lang w:val="es-ES" w:eastAsia="es-ES"/>
        </w:rPr>
        <w:t>. . . . . . . . . . . . . .</w:t>
      </w:r>
      <w:r w:rsidRPr="00DE2E6C">
        <w:rPr>
          <w:rFonts w:ascii="Calibri" w:eastAsia="Calibri" w:hAnsi="Calibri" w:cs="Times New Roman"/>
          <w:color w:val="767171"/>
          <w:sz w:val="26"/>
          <w:szCs w:val="26"/>
          <w:lang w:val="es-ES" w:eastAsia="es-ES"/>
        </w:rPr>
        <w:t>. . . . . . . . . . . . . . . . . . . . . . . . . . . . . . . . . . . . . . . . . . . . .</w:t>
      </w:r>
    </w:p>
    <w:p w:rsidR="00DE2E6C" w:rsidRPr="00DE2E6C" w:rsidRDefault="00DE2E6C" w:rsidP="00DE2E6C">
      <w:pPr>
        <w:spacing w:after="0" w:line="240" w:lineRule="auto"/>
        <w:jc w:val="both"/>
        <w:rPr>
          <w:rFonts w:ascii="Calibri" w:eastAsia="Calibri" w:hAnsi="Calibri" w:cs="Calibri"/>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val="es-ES" w:eastAsia="es-ES"/>
        </w:rPr>
      </w:pPr>
      <w:r w:rsidRPr="00DE2E6C">
        <w:rPr>
          <w:rFonts w:ascii="Calibri" w:eastAsia="Calibri" w:hAnsi="Calibri" w:cs="Calibri"/>
          <w:color w:val="767171"/>
          <w:sz w:val="26"/>
          <w:szCs w:val="26"/>
          <w:lang w:val="es-ES" w:eastAsia="es-ES"/>
        </w:rPr>
        <w:t xml:space="preserve">Así las cosas, primeramente analizando el </w:t>
      </w:r>
      <w:r w:rsidRPr="00DE2E6C">
        <w:rPr>
          <w:rFonts w:ascii="Calibri" w:eastAsia="Calibri" w:hAnsi="Calibri" w:cs="Calibri"/>
          <w:b/>
          <w:color w:val="767171"/>
          <w:sz w:val="26"/>
          <w:szCs w:val="26"/>
          <w:lang w:val="es-ES" w:eastAsia="es-ES"/>
        </w:rPr>
        <w:t xml:space="preserve">Tercer </w:t>
      </w:r>
      <w:r w:rsidRPr="00DE2E6C">
        <w:rPr>
          <w:rFonts w:ascii="Calibri" w:eastAsia="Calibri" w:hAnsi="Calibri" w:cs="Calibri"/>
          <w:color w:val="767171"/>
          <w:sz w:val="26"/>
          <w:szCs w:val="26"/>
          <w:lang w:val="es-ES" w:eastAsia="es-ES"/>
        </w:rPr>
        <w:t xml:space="preserve">concepto de impugnación, la parte actora expuso: </w:t>
      </w:r>
      <w:r w:rsidRPr="00DE2E6C">
        <w:rPr>
          <w:rFonts w:ascii="Calibri" w:eastAsia="Calibri" w:hAnsi="Calibri" w:cs="Calibri"/>
          <w:i/>
          <w:color w:val="767171"/>
          <w:sz w:val="26"/>
          <w:szCs w:val="26"/>
          <w:lang w:val="es-ES" w:eastAsia="es-ES"/>
        </w:rPr>
        <w:t>“TERCERO Fuente de Violación: Lo es la resolución que se contiene…. Concepto de impugnación: …. La ilegal y arbitraria resolución…. La cual contiene el nombre del Director General de Desarrollo Urbano, mas no su firma y en ese espacio contiene un simple sello ilegible… y por lo mismo no puede ser atribuible a la persona que ostenta dicho cargo, además está suscrita por otras 2 personas que de ninguna manera fundamentan ni motivan contar con las facultades con que se ostentan……”</w:t>
      </w:r>
      <w:r w:rsidRPr="00DE2E6C">
        <w:rPr>
          <w:rFonts w:ascii="Calibri" w:eastAsia="Calibri" w:hAnsi="Calibri" w:cs="Calibri"/>
          <w:color w:val="767171"/>
          <w:sz w:val="26"/>
          <w:szCs w:val="26"/>
          <w:lang w:val="es-ES" w:eastAsia="es-ES"/>
        </w:rPr>
        <w:t xml:space="preserve">. . . . . . . . . . . . . . . . . . . </w:t>
      </w:r>
    </w:p>
    <w:p w:rsidR="00DE2E6C" w:rsidRPr="00DE2E6C" w:rsidRDefault="00DE2E6C" w:rsidP="00DE2E6C">
      <w:pPr>
        <w:spacing w:after="0" w:line="240" w:lineRule="auto"/>
        <w:jc w:val="both"/>
        <w:rPr>
          <w:rFonts w:ascii="Calibri" w:eastAsia="Calibri" w:hAnsi="Calibri" w:cs="Calibri"/>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i/>
          <w:color w:val="767171"/>
          <w:sz w:val="26"/>
          <w:szCs w:val="24"/>
          <w:lang w:val="es-ES" w:eastAsia="es-ES"/>
        </w:rPr>
      </w:pPr>
      <w:r w:rsidRPr="00DE2E6C">
        <w:rPr>
          <w:rFonts w:ascii="Calibri" w:eastAsia="Calibri" w:hAnsi="Calibri" w:cs="Times New Roman"/>
          <w:color w:val="767171"/>
          <w:sz w:val="26"/>
          <w:szCs w:val="24"/>
          <w:lang w:val="es-ES" w:eastAsia="es-ES"/>
        </w:rPr>
        <w:lastRenderedPageBreak/>
        <w:t>A lo expresado por el actor, las autoridades demandadas solo arguyeron que eran inoperantes e improcedentes los conceptos de impugnación que se hicieron valer y que el acto impugnado se encuentra apegado a derecho</w:t>
      </w:r>
      <w:r w:rsidRPr="00DE2E6C">
        <w:rPr>
          <w:rFonts w:ascii="Calibri" w:eastAsia="Calibri" w:hAnsi="Calibri" w:cs="Times New Roman"/>
          <w:i/>
          <w:color w:val="767171"/>
          <w:sz w:val="26"/>
          <w:szCs w:val="24"/>
          <w:lang w:val="es-ES" w:eastAsia="es-ES"/>
        </w:rPr>
        <w:t xml:space="preserve">. . . . . . . . </w:t>
      </w:r>
    </w:p>
    <w:p w:rsidR="00DE2E6C" w:rsidRPr="00DE2E6C" w:rsidRDefault="00DE2E6C" w:rsidP="00DE2E6C">
      <w:pPr>
        <w:spacing w:after="0" w:line="240" w:lineRule="auto"/>
        <w:jc w:val="both"/>
        <w:rPr>
          <w:rFonts w:ascii="Calibri" w:eastAsia="Calibri" w:hAnsi="Calibri" w:cs="Times New Roman"/>
          <w:color w:val="767171"/>
          <w:sz w:val="26"/>
          <w:szCs w:val="24"/>
          <w:lang w:val="es-ES" w:eastAsia="es-ES"/>
        </w:rPr>
      </w:pPr>
    </w:p>
    <w:p w:rsidR="00DE2E6C" w:rsidRPr="00DE2E6C" w:rsidRDefault="00DE2E6C" w:rsidP="00DE2E6C">
      <w:pPr>
        <w:spacing w:after="0" w:line="240" w:lineRule="auto"/>
        <w:jc w:val="both"/>
        <w:rPr>
          <w:rFonts w:ascii="Calibri" w:eastAsia="Calibri" w:hAnsi="Calibri" w:cs="Times New Roman"/>
          <w:bCs/>
          <w:color w:val="767171"/>
          <w:sz w:val="26"/>
          <w:szCs w:val="26"/>
          <w:lang w:val="es-ES" w:eastAsia="es-ES"/>
        </w:rPr>
      </w:pPr>
      <w:r w:rsidRPr="00DE2E6C">
        <w:rPr>
          <w:rFonts w:ascii="Calibri" w:eastAsia="Calibri" w:hAnsi="Calibri" w:cs="Times New Roman"/>
          <w:color w:val="767171"/>
          <w:sz w:val="26"/>
          <w:szCs w:val="24"/>
          <w:lang w:val="es-ES" w:eastAsia="es-ES"/>
        </w:rPr>
        <w:tab/>
        <w:t xml:space="preserve">Para este juzgador es </w:t>
      </w:r>
      <w:r w:rsidRPr="00DE2E6C">
        <w:rPr>
          <w:rFonts w:ascii="Calibri" w:eastAsia="Calibri" w:hAnsi="Calibri" w:cs="Times New Roman"/>
          <w:b/>
          <w:color w:val="767171"/>
          <w:sz w:val="26"/>
          <w:szCs w:val="24"/>
          <w:lang w:val="es-ES" w:eastAsia="es-ES"/>
        </w:rPr>
        <w:t xml:space="preserve">fundado </w:t>
      </w:r>
      <w:r w:rsidRPr="00DE2E6C">
        <w:rPr>
          <w:rFonts w:ascii="Calibri" w:eastAsia="Calibri" w:hAnsi="Calibri" w:cs="Times New Roman"/>
          <w:color w:val="767171"/>
          <w:sz w:val="26"/>
          <w:szCs w:val="24"/>
          <w:lang w:val="es-ES" w:eastAsia="es-ES"/>
        </w:rPr>
        <w:t xml:space="preserve">el concepto de impugnación en estudio; pues efectivamente, del propio oficio impugnado, </w:t>
      </w:r>
      <w:r w:rsidRPr="00DE2E6C">
        <w:rPr>
          <w:rFonts w:ascii="Calibri" w:eastAsia="Calibri" w:hAnsi="Calibri" w:cs="Times New Roman"/>
          <w:bCs/>
          <w:color w:val="767171"/>
          <w:sz w:val="26"/>
          <w:szCs w:val="26"/>
          <w:lang w:val="es-ES" w:eastAsia="es-ES"/>
        </w:rPr>
        <w:t xml:space="preserve">identificado con el número </w:t>
      </w:r>
      <w:r w:rsidRPr="00DE2E6C">
        <w:rPr>
          <w:rFonts w:ascii="Calibri" w:eastAsia="Calibri" w:hAnsi="Calibri" w:cs="Times New Roman"/>
          <w:b/>
          <w:bCs/>
          <w:color w:val="767171"/>
          <w:sz w:val="26"/>
          <w:szCs w:val="26"/>
          <w:lang w:val="es-ES" w:eastAsia="es-ES"/>
        </w:rPr>
        <w:t>DGDU/CSC/CA/9-159297/2014</w:t>
      </w:r>
      <w:r w:rsidRPr="00DE2E6C">
        <w:rPr>
          <w:rFonts w:ascii="Calibri" w:eastAsia="Calibri" w:hAnsi="Calibri" w:cs="Times New Roman"/>
          <w:bCs/>
          <w:color w:val="767171"/>
          <w:sz w:val="26"/>
          <w:szCs w:val="26"/>
          <w:lang w:val="es-ES" w:eastAsia="es-ES"/>
        </w:rPr>
        <w:t xml:space="preserve">, de fecha 10 diez de julio del año 2014 dos mil catorce, por la que se determinó no otorgarle el permiso de anuncio publicitario, de tipo espectacular, en azotea, ubicado en la *****, se desprende que el mismo se emitió sin las formalidades legales, por lo que se incumple con el elemento de validez de los actos administrativos, contenido en el artículo 137, fracción V de la materia, referido a que tales actos para ser válidos requieren contener la firma autógrafa del servidor público de que emanen, a menos de que la ley aplicable permita alguna otra forma de distinta de emitirlos, como serían los medios electrónicos. . . . . . . . . . . . . . . . . . . . </w:t>
      </w:r>
    </w:p>
    <w:p w:rsidR="00DE2E6C" w:rsidRPr="00DE2E6C" w:rsidRDefault="00DE2E6C" w:rsidP="00DE2E6C">
      <w:pPr>
        <w:spacing w:after="0" w:line="240" w:lineRule="auto"/>
        <w:jc w:val="both"/>
        <w:rPr>
          <w:rFonts w:ascii="Calibri" w:eastAsia="Calibri" w:hAnsi="Calibri" w:cs="Times New Roman"/>
          <w:bCs/>
          <w:color w:val="767171"/>
          <w:sz w:val="26"/>
          <w:szCs w:val="26"/>
          <w:lang w:val="es-ES" w:eastAsia="es-ES"/>
        </w:rPr>
      </w:pPr>
    </w:p>
    <w:p w:rsidR="00DE2E6C" w:rsidRPr="00DE2E6C" w:rsidRDefault="00DE2E6C" w:rsidP="00DE2E6C">
      <w:pPr>
        <w:autoSpaceDE w:val="0"/>
        <w:autoSpaceDN w:val="0"/>
        <w:adjustRightInd w:val="0"/>
        <w:spacing w:after="0" w:line="240" w:lineRule="auto"/>
        <w:ind w:firstLine="708"/>
        <w:jc w:val="both"/>
        <w:rPr>
          <w:rFonts w:ascii="Calibri" w:eastAsia="Calibri" w:hAnsi="Calibri" w:cs="Times New Roman"/>
          <w:color w:val="767171"/>
          <w:sz w:val="26"/>
          <w:szCs w:val="27"/>
          <w:lang w:val="es-ES" w:eastAsia="es-ES"/>
        </w:rPr>
      </w:pPr>
      <w:r w:rsidRPr="00DE2E6C">
        <w:rPr>
          <w:rFonts w:ascii="Calibri" w:eastAsia="Calibri" w:hAnsi="Calibri" w:cs="Times New Roman"/>
          <w:color w:val="767171"/>
          <w:sz w:val="26"/>
          <w:szCs w:val="27"/>
          <w:lang w:val="es-ES" w:eastAsia="es-ES"/>
        </w:rPr>
        <w:t xml:space="preserve">Ello es así, toda vez que en efecto, en dicho documento no obra la firma autógrafa del entonces Director General de Desarrollo Urbano, ciudadano *****, ya que si bien es cierto que en el oficio, se aprecia un sello sobre el nombre del señalado director, cierto es también que dicho signo no fue estampado del puño y letra del demandado; sino que se trata de la impresión de un sello; lo que vulnera sin duda alguna, el requisito formal </w:t>
      </w:r>
    </w:p>
    <w:p w:rsidR="00DE2E6C" w:rsidRPr="00DE2E6C" w:rsidRDefault="00DE2E6C" w:rsidP="00DE2E6C">
      <w:pPr>
        <w:spacing w:after="0" w:line="240" w:lineRule="auto"/>
        <w:ind w:firstLine="708"/>
        <w:jc w:val="right"/>
        <w:rPr>
          <w:rFonts w:ascii="Calibri" w:eastAsia="Calibri" w:hAnsi="Calibri" w:cs="Times New Roman"/>
          <w:b/>
          <w:bCs/>
          <w:color w:val="767171"/>
          <w:sz w:val="26"/>
          <w:szCs w:val="26"/>
          <w:lang w:val="es-ES" w:eastAsia="es-ES"/>
        </w:rPr>
      </w:pPr>
      <w:r w:rsidRPr="00DE2E6C">
        <w:rPr>
          <w:rFonts w:ascii="Calibri" w:eastAsia="Calibri" w:hAnsi="Calibri" w:cs="Times New Roman"/>
          <w:b/>
          <w:bCs/>
          <w:color w:val="767171"/>
          <w:sz w:val="26"/>
          <w:szCs w:val="26"/>
          <w:lang w:val="es-ES" w:eastAsia="es-ES"/>
        </w:rPr>
        <w:t>Expediente número 400/2014-JN</w:t>
      </w:r>
    </w:p>
    <w:p w:rsidR="00DE2E6C" w:rsidRPr="00DE2E6C" w:rsidRDefault="00DE2E6C" w:rsidP="00DE2E6C">
      <w:pPr>
        <w:autoSpaceDE w:val="0"/>
        <w:autoSpaceDN w:val="0"/>
        <w:adjustRightInd w:val="0"/>
        <w:spacing w:after="0" w:line="240" w:lineRule="auto"/>
        <w:ind w:firstLine="708"/>
        <w:jc w:val="both"/>
        <w:rPr>
          <w:rFonts w:ascii="Calibri" w:eastAsia="Calibri" w:hAnsi="Calibri" w:cs="Times New Roman"/>
          <w:color w:val="767171"/>
          <w:sz w:val="26"/>
          <w:szCs w:val="27"/>
          <w:lang w:val="es-ES" w:eastAsia="es-ES"/>
        </w:rPr>
      </w:pPr>
    </w:p>
    <w:p w:rsidR="00DE2E6C" w:rsidRPr="00DE2E6C" w:rsidRDefault="00DE2E6C" w:rsidP="00DE2E6C">
      <w:pPr>
        <w:autoSpaceDE w:val="0"/>
        <w:autoSpaceDN w:val="0"/>
        <w:adjustRightInd w:val="0"/>
        <w:spacing w:after="0" w:line="240" w:lineRule="auto"/>
        <w:jc w:val="both"/>
        <w:rPr>
          <w:rFonts w:ascii="Calibri" w:eastAsia="Calibri" w:hAnsi="Calibri" w:cs="Times New Roman"/>
          <w:color w:val="767171"/>
          <w:sz w:val="26"/>
          <w:szCs w:val="27"/>
          <w:lang w:val="es-ES" w:eastAsia="es-ES"/>
        </w:rPr>
      </w:pPr>
      <w:proofErr w:type="gramStart"/>
      <w:r w:rsidRPr="00DE2E6C">
        <w:rPr>
          <w:rFonts w:ascii="Calibri" w:eastAsia="Calibri" w:hAnsi="Calibri" w:cs="Times New Roman"/>
          <w:color w:val="767171"/>
          <w:sz w:val="26"/>
          <w:szCs w:val="27"/>
          <w:lang w:val="es-ES" w:eastAsia="es-ES"/>
        </w:rPr>
        <w:t>consistente</w:t>
      </w:r>
      <w:proofErr w:type="gramEnd"/>
      <w:r w:rsidRPr="00DE2E6C">
        <w:rPr>
          <w:rFonts w:ascii="Calibri" w:eastAsia="Calibri" w:hAnsi="Calibri" w:cs="Times New Roman"/>
          <w:color w:val="767171"/>
          <w:sz w:val="26"/>
          <w:szCs w:val="27"/>
          <w:lang w:val="es-ES" w:eastAsia="es-ES"/>
        </w:rPr>
        <w:t xml:space="preserve"> en que todo acto administrativo debe contener en el texto del documento, la firma autógrafa o electrónica de la autoridad de la que emane, tal y como lo dispone la fracción V del ya artículo 137 del Código de la materia; toda vez que la firma de la autoridad, no es otra cosa que la manifestación de la voluntad de la autoridad para la emisión del acto. . . . . . . . . . . . . . . . . . . . . . . . . . . </w:t>
      </w:r>
    </w:p>
    <w:p w:rsidR="00DE2E6C" w:rsidRPr="00DE2E6C" w:rsidRDefault="00DE2E6C" w:rsidP="00DE2E6C">
      <w:pPr>
        <w:autoSpaceDE w:val="0"/>
        <w:autoSpaceDN w:val="0"/>
        <w:adjustRightInd w:val="0"/>
        <w:spacing w:after="0" w:line="240" w:lineRule="auto"/>
        <w:ind w:firstLine="708"/>
        <w:jc w:val="both"/>
        <w:rPr>
          <w:rFonts w:ascii="Calibri" w:eastAsia="Calibri" w:hAnsi="Calibri" w:cs="Times New Roman"/>
          <w:color w:val="767171"/>
          <w:szCs w:val="27"/>
          <w:lang w:val="es-ES" w:eastAsia="es-ES"/>
        </w:rPr>
      </w:pPr>
    </w:p>
    <w:p w:rsidR="00DE2E6C" w:rsidRPr="00DE2E6C" w:rsidRDefault="00DE2E6C" w:rsidP="00DE2E6C">
      <w:pPr>
        <w:autoSpaceDE w:val="0"/>
        <w:autoSpaceDN w:val="0"/>
        <w:adjustRightInd w:val="0"/>
        <w:spacing w:after="0" w:line="240" w:lineRule="auto"/>
        <w:ind w:firstLine="708"/>
        <w:jc w:val="both"/>
        <w:rPr>
          <w:rFonts w:ascii="Calibri" w:eastAsia="Calibri" w:hAnsi="Calibri" w:cs="Times New Roman"/>
          <w:color w:val="767171"/>
          <w:sz w:val="26"/>
          <w:szCs w:val="27"/>
          <w:lang w:val="es-ES" w:eastAsia="es-ES"/>
        </w:rPr>
      </w:pPr>
      <w:r w:rsidRPr="00DE2E6C">
        <w:rPr>
          <w:rFonts w:ascii="Calibri" w:eastAsia="Calibri" w:hAnsi="Calibri" w:cs="Times New Roman"/>
          <w:color w:val="767171"/>
          <w:sz w:val="26"/>
          <w:szCs w:val="27"/>
          <w:lang w:val="es-ES" w:eastAsia="es-ES"/>
        </w:rPr>
        <w:t xml:space="preserve">Luego entonces, al no estampar su firma, ya sea autógrafa o electrónica, la autoridad que aparece como emisora; se traduce en que existe un vicio en la exteriorización de la voluntad del Director General de Desarrollo Urbano de este municipio; porque ese signo gráfico es el que le otorga certeza y eficacia a los actos de autoridad que emite, ya que constituye la única forma en que puede asegurarse al particular que fue la voluntad de la autoridad emitir dicho acto en los términos a que el mismo se refiere. . . . . . . . . . . . . . . . . . . . . . . . . . . . . . . . . . . . </w:t>
      </w:r>
    </w:p>
    <w:p w:rsidR="00DE2E6C" w:rsidRPr="00DE2E6C" w:rsidRDefault="00DE2E6C" w:rsidP="00DE2E6C">
      <w:pPr>
        <w:autoSpaceDE w:val="0"/>
        <w:autoSpaceDN w:val="0"/>
        <w:adjustRightInd w:val="0"/>
        <w:spacing w:after="0" w:line="240" w:lineRule="auto"/>
        <w:ind w:firstLine="708"/>
        <w:jc w:val="both"/>
        <w:rPr>
          <w:rFonts w:ascii="Calibri" w:eastAsia="Calibri" w:hAnsi="Calibri" w:cs="Times New Roman"/>
          <w:color w:val="767171"/>
          <w:szCs w:val="27"/>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r w:rsidRPr="00DE2E6C">
        <w:rPr>
          <w:rFonts w:ascii="Calibri" w:eastAsia="Calibri" w:hAnsi="Calibri" w:cs="Times New Roman"/>
          <w:color w:val="767171"/>
          <w:sz w:val="26"/>
          <w:szCs w:val="27"/>
          <w:lang w:val="es-ES" w:eastAsia="es-ES"/>
        </w:rPr>
        <w:t xml:space="preserve">Aunado a lo anterior, es sabido conforme a la doctrina jurídica, que </w:t>
      </w:r>
      <w:r w:rsidRPr="00DE2E6C">
        <w:rPr>
          <w:rFonts w:ascii="Calibri" w:eastAsia="Calibri" w:hAnsi="Calibri" w:cs="Arial"/>
          <w:color w:val="767171"/>
          <w:sz w:val="26"/>
          <w:szCs w:val="27"/>
          <w:lang w:val="es-ES" w:eastAsia="es-ES"/>
        </w:rPr>
        <w:t xml:space="preserve">todo acto de molestia, como lo es el acto impugnado, precisa de la concurrencia indispensable de tres requisitos mínimos, a saber: 1).- Que se exprese por escrito y </w:t>
      </w:r>
      <w:r w:rsidRPr="00DE2E6C">
        <w:rPr>
          <w:rFonts w:ascii="Calibri" w:eastAsia="Calibri" w:hAnsi="Calibri" w:cs="Arial"/>
          <w:color w:val="767171"/>
          <w:sz w:val="26"/>
          <w:szCs w:val="27"/>
          <w:lang w:val="es-ES" w:eastAsia="es-ES"/>
        </w:rPr>
        <w:lastRenderedPageBreak/>
        <w:t xml:space="preserve">contenga </w:t>
      </w:r>
      <w:r w:rsidRPr="00DE2E6C">
        <w:rPr>
          <w:rFonts w:ascii="Calibri" w:eastAsia="Calibri" w:hAnsi="Calibri" w:cs="Arial"/>
          <w:color w:val="767171"/>
          <w:sz w:val="26"/>
          <w:szCs w:val="27"/>
          <w:u w:val="single"/>
          <w:lang w:val="es-ES" w:eastAsia="es-ES"/>
        </w:rPr>
        <w:t>la firma original o autógrafa</w:t>
      </w:r>
      <w:r w:rsidRPr="00DE2E6C">
        <w:rPr>
          <w:rFonts w:ascii="Calibri" w:eastAsia="Calibri" w:hAnsi="Calibri" w:cs="Arial"/>
          <w:color w:val="767171"/>
          <w:sz w:val="26"/>
          <w:szCs w:val="27"/>
          <w:lang w:val="es-ES" w:eastAsia="es-ES"/>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cuál autoridad proviene, así como su contenido y sus consecuencias. </w:t>
      </w:r>
      <w:r w:rsidRPr="00DE2E6C">
        <w:rPr>
          <w:rFonts w:ascii="Calibri" w:eastAsia="Calibri" w:hAnsi="Calibri" w:cs="Times New Roman"/>
          <w:color w:val="767171"/>
          <w:sz w:val="26"/>
          <w:szCs w:val="26"/>
          <w:lang w:val="es-ES" w:eastAsia="es-ES"/>
        </w:rPr>
        <w:t xml:space="preserve">. . . . . . .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p>
    <w:p w:rsidR="00DE2E6C" w:rsidRPr="00DE2E6C" w:rsidRDefault="00DE2E6C" w:rsidP="00DE2E6C">
      <w:pPr>
        <w:autoSpaceDE w:val="0"/>
        <w:autoSpaceDN w:val="0"/>
        <w:adjustRightInd w:val="0"/>
        <w:spacing w:after="0" w:line="240" w:lineRule="auto"/>
        <w:ind w:firstLine="708"/>
        <w:jc w:val="both"/>
        <w:rPr>
          <w:rFonts w:ascii="Calibri" w:eastAsia="Calibri" w:hAnsi="Calibri" w:cs="Arial"/>
          <w:color w:val="767171"/>
          <w:sz w:val="26"/>
          <w:szCs w:val="27"/>
          <w:lang w:val="es-ES" w:eastAsia="es-ES"/>
        </w:rPr>
      </w:pPr>
      <w:r w:rsidRPr="00DE2E6C">
        <w:rPr>
          <w:rFonts w:ascii="Calibri" w:eastAsia="Calibri" w:hAnsi="Calibri" w:cs="Arial"/>
          <w:color w:val="767171"/>
          <w:sz w:val="26"/>
          <w:szCs w:val="27"/>
          <w:lang w:val="es-ES" w:eastAsia="es-ES"/>
        </w:rPr>
        <w:t xml:space="preserve">No sobra manifestar que la restante autoridad firmante del oficio impugnado, Coordinador de área de anuncios, Ingeniero *****, si bien es cierto, que tal funcionario sí estampó de su puño y letra su firma en el oficio impugnado; también es cierto que tal autoridad no fundó su competencia para emitir dicha respuesta. . . . . . . . . . . . . . . . . . . . . . . . . . . . . . . . . . </w:t>
      </w:r>
    </w:p>
    <w:p w:rsidR="00DE2E6C" w:rsidRPr="00DE2E6C" w:rsidRDefault="00DE2E6C" w:rsidP="00DE2E6C">
      <w:pPr>
        <w:spacing w:after="0" w:line="240" w:lineRule="auto"/>
        <w:jc w:val="both"/>
        <w:rPr>
          <w:rFonts w:ascii="Calibri" w:eastAsia="Calibri" w:hAnsi="Calibri" w:cs="Times New Roman"/>
          <w:color w:val="767171"/>
          <w:szCs w:val="27"/>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eastAsia="es-ES"/>
        </w:rPr>
      </w:pPr>
      <w:r w:rsidRPr="00DE2E6C">
        <w:rPr>
          <w:rFonts w:ascii="Calibri" w:eastAsia="Calibri" w:hAnsi="Calibri" w:cs="Times New Roman"/>
          <w:color w:val="767171"/>
          <w:sz w:val="26"/>
          <w:szCs w:val="27"/>
          <w:lang w:eastAsia="es-ES"/>
        </w:rPr>
        <w:t xml:space="preserve">Al caso resultan aplicables, por analogía, la siguiente Jurisprudencia emitida por el Tribunal Colegiado del Poder Judicial de la Federación que se menciona a continuación: . . . . . . . . . . . . . . . . . . . . . . . . . . . . . . . . . . . . . . . . . . . . . . </w:t>
      </w:r>
    </w:p>
    <w:p w:rsidR="00DE2E6C" w:rsidRPr="00DE2E6C" w:rsidRDefault="00DE2E6C" w:rsidP="00DE2E6C">
      <w:pPr>
        <w:spacing w:after="0" w:line="240" w:lineRule="auto"/>
        <w:jc w:val="both"/>
        <w:rPr>
          <w:rFonts w:ascii="Calibri" w:eastAsia="Calibri" w:hAnsi="Calibri" w:cs="Times New Roman"/>
          <w:color w:val="767171"/>
          <w:szCs w:val="27"/>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Cs w:val="27"/>
          <w:lang w:eastAsia="es-ES"/>
        </w:rPr>
      </w:pPr>
      <w:r w:rsidRPr="00DE2E6C">
        <w:rPr>
          <w:rFonts w:ascii="Calibri" w:eastAsia="Calibri" w:hAnsi="Calibri" w:cs="Times New Roman"/>
          <w:b/>
          <w:bCs/>
          <w:i/>
          <w:iCs/>
          <w:color w:val="767171"/>
          <w:sz w:val="26"/>
          <w:szCs w:val="27"/>
          <w:lang w:eastAsia="es-ES"/>
        </w:rPr>
        <w:t xml:space="preserve">"FIRMA AUTOGRAFA DE LA AUTORIDAD RESPONSABLE, SU OMISION IMPIDE OTORGAR VALIDEZ AL ACTO. </w:t>
      </w:r>
      <w:r w:rsidRPr="00DE2E6C">
        <w:rPr>
          <w:rFonts w:ascii="Calibri" w:eastAsia="Calibri" w:hAnsi="Calibri" w:cs="Times New Roman"/>
          <w:i/>
          <w:iCs/>
          <w:color w:val="767171"/>
          <w:sz w:val="26"/>
          <w:szCs w:val="27"/>
          <w:lang w:eastAsia="es-ES"/>
        </w:rPr>
        <w:t xml:space="preserve">Una resolución determinante de un crédito 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signante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DE2E6C">
        <w:rPr>
          <w:rFonts w:ascii="Calibri" w:eastAsia="Calibri" w:hAnsi="Calibri" w:cs="Times New Roman"/>
          <w:color w:val="767171"/>
          <w:szCs w:val="27"/>
          <w:lang w:eastAsia="es-ES"/>
        </w:rPr>
        <w:t>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DE2E6C">
        <w:rPr>
          <w:rFonts w:ascii="Calibri" w:eastAsia="Calibri" w:hAnsi="Calibri" w:cs="Times New Roman"/>
          <w:color w:val="767171"/>
          <w:szCs w:val="27"/>
          <w:lang w:eastAsia="es-ES"/>
        </w:rPr>
        <w:t>:.</w:t>
      </w:r>
      <w:proofErr w:type="gramEnd"/>
      <w:r w:rsidRPr="00DE2E6C">
        <w:rPr>
          <w:rFonts w:ascii="Calibri" w:eastAsia="Calibri" w:hAnsi="Calibri" w:cs="Times New Roman"/>
          <w:color w:val="767171"/>
          <w:szCs w:val="27"/>
          <w:lang w:eastAsia="es-ES"/>
        </w:rPr>
        <w:t xml:space="preserve"> Gaceta número 34, Octubre de 1990, página 75</w:t>
      </w:r>
      <w:r w:rsidRPr="00DE2E6C">
        <w:rPr>
          <w:rFonts w:ascii="Calibri" w:eastAsia="Calibri" w:hAnsi="Calibri" w:cs="Times New Roman"/>
          <w:color w:val="767171"/>
          <w:sz w:val="26"/>
          <w:szCs w:val="27"/>
          <w:lang w:eastAsia="es-ES"/>
        </w:rPr>
        <w:t xml:space="preserve">”.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Cs w:val="27"/>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eastAsia="es-ES"/>
        </w:rPr>
      </w:pPr>
      <w:r w:rsidRPr="00DE2E6C">
        <w:rPr>
          <w:rFonts w:ascii="Calibri" w:eastAsia="Calibri" w:hAnsi="Calibri" w:cs="Times New Roman"/>
          <w:color w:val="767171"/>
          <w:sz w:val="26"/>
          <w:szCs w:val="26"/>
          <w:lang w:eastAsia="es-ES"/>
        </w:rPr>
        <w:t>Así como la siguiente, emitida por la Suprema Corte de Justicia de la Nación: . . . . . . . . . . . . .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Cs w:val="27"/>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eastAsia="es-ES"/>
        </w:rPr>
      </w:pPr>
      <w:r w:rsidRPr="00DE2E6C">
        <w:rPr>
          <w:rFonts w:ascii="Calibri" w:eastAsia="Calibri" w:hAnsi="Calibri" w:cs="Times New Roman"/>
          <w:i/>
          <w:iCs/>
          <w:color w:val="767171"/>
          <w:sz w:val="26"/>
          <w:szCs w:val="27"/>
          <w:lang w:eastAsia="es-ES"/>
        </w:rPr>
        <w:lastRenderedPageBreak/>
        <w:t>"</w:t>
      </w:r>
      <w:r w:rsidRPr="00DE2E6C">
        <w:rPr>
          <w:rFonts w:ascii="Calibri" w:eastAsia="Calibri" w:hAnsi="Calibri" w:cs="Times New Roman"/>
          <w:b/>
          <w:bCs/>
          <w:i/>
          <w:iCs/>
          <w:color w:val="767171"/>
          <w:sz w:val="26"/>
          <w:szCs w:val="27"/>
          <w:lang w:eastAsia="es-ES"/>
        </w:rPr>
        <w:t>FIRMA FACSIMILAR. DOCUMENTOS PARA LA NOTIFICACION DE CREDITOS FISCALES.</w:t>
      </w:r>
      <w:r w:rsidRPr="00DE2E6C">
        <w:rPr>
          <w:rFonts w:ascii="Calibri" w:eastAsia="Calibri" w:hAnsi="Calibri" w:cs="Times New Roman"/>
          <w:i/>
          <w:iCs/>
          <w:color w:val="767171"/>
          <w:sz w:val="26"/>
          <w:szCs w:val="27"/>
          <w:lang w:eastAsia="es-ES"/>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DE2E6C">
        <w:rPr>
          <w:rFonts w:ascii="Calibri" w:eastAsia="Calibri" w:hAnsi="Calibri" w:cs="Times New Roman"/>
          <w:b/>
          <w:bCs/>
          <w:i/>
          <w:iCs/>
          <w:color w:val="767171"/>
          <w:sz w:val="26"/>
          <w:szCs w:val="27"/>
          <w:lang w:eastAsia="es-ES"/>
        </w:rPr>
        <w:t>firma</w:t>
      </w:r>
      <w:r w:rsidRPr="00DE2E6C">
        <w:rPr>
          <w:rFonts w:ascii="Calibri" w:eastAsia="Calibri" w:hAnsi="Calibri" w:cs="Times New Roman"/>
          <w:i/>
          <w:iCs/>
          <w:color w:val="767171"/>
          <w:sz w:val="26"/>
          <w:szCs w:val="27"/>
          <w:lang w:eastAsia="es-ES"/>
        </w:rPr>
        <w:t xml:space="preserve"> autógrafa del servidor público que lo expida y no un facsímil, por consiguiente, tratándose de un cobro fiscal, el documento que se entregue al causante para efectos de notificación debe contener la </w:t>
      </w:r>
      <w:r w:rsidRPr="00DE2E6C">
        <w:rPr>
          <w:rFonts w:ascii="Calibri" w:eastAsia="Calibri" w:hAnsi="Calibri" w:cs="Times New Roman"/>
          <w:b/>
          <w:bCs/>
          <w:i/>
          <w:iCs/>
          <w:color w:val="767171"/>
          <w:sz w:val="26"/>
          <w:szCs w:val="27"/>
          <w:lang w:eastAsia="es-ES"/>
        </w:rPr>
        <w:t>firma</w:t>
      </w:r>
      <w:r w:rsidRPr="00DE2E6C">
        <w:rPr>
          <w:rFonts w:ascii="Calibri" w:eastAsia="Calibri" w:hAnsi="Calibri" w:cs="Times New Roman"/>
          <w:i/>
          <w:iCs/>
          <w:color w:val="767171"/>
          <w:sz w:val="26"/>
          <w:szCs w:val="27"/>
          <w:lang w:eastAsia="es-ES"/>
        </w:rPr>
        <w:t xml:space="preserve"> autógrafa, ya que ésta es un signo gráfico que da validez a los actos de autoridad, razón por la cual debe estimarse que no es válida la </w:t>
      </w:r>
      <w:r w:rsidRPr="00DE2E6C">
        <w:rPr>
          <w:rFonts w:ascii="Calibri" w:eastAsia="Calibri" w:hAnsi="Calibri" w:cs="Times New Roman"/>
          <w:b/>
          <w:bCs/>
          <w:i/>
          <w:iCs/>
          <w:color w:val="767171"/>
          <w:sz w:val="26"/>
          <w:szCs w:val="27"/>
          <w:lang w:eastAsia="es-ES"/>
        </w:rPr>
        <w:t>firma facsimilar</w:t>
      </w:r>
      <w:r w:rsidRPr="00DE2E6C">
        <w:rPr>
          <w:rFonts w:ascii="Calibri" w:eastAsia="Calibri" w:hAnsi="Calibri" w:cs="Times New Roman"/>
          <w:i/>
          <w:iCs/>
          <w:color w:val="767171"/>
          <w:sz w:val="26"/>
          <w:szCs w:val="27"/>
          <w:lang w:eastAsia="es-ES"/>
        </w:rPr>
        <w:t xml:space="preserve"> que ostente el referido mandamiento de autoridad." </w:t>
      </w:r>
      <w:r w:rsidRPr="00DE2E6C">
        <w:rPr>
          <w:rFonts w:ascii="Calibri" w:eastAsia="Calibri" w:hAnsi="Calibri" w:cs="Times New Roman"/>
          <w:color w:val="767171"/>
          <w:szCs w:val="27"/>
          <w:lang w:eastAsia="es-ES"/>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DE2E6C">
        <w:rPr>
          <w:rFonts w:ascii="Calibri" w:eastAsia="Calibri" w:hAnsi="Calibri" w:cs="Times New Roman"/>
          <w:b/>
          <w:bCs/>
          <w:color w:val="767171"/>
          <w:szCs w:val="27"/>
          <w:lang w:eastAsia="es-ES"/>
        </w:rPr>
        <w:t>Localización</w:t>
      </w:r>
      <w:proofErr w:type="gramStart"/>
      <w:r w:rsidRPr="00DE2E6C">
        <w:rPr>
          <w:rFonts w:ascii="Calibri" w:eastAsia="Calibri" w:hAnsi="Calibri" w:cs="Times New Roman"/>
          <w:b/>
          <w:bCs/>
          <w:color w:val="767171"/>
          <w:szCs w:val="27"/>
          <w:lang w:eastAsia="es-ES"/>
        </w:rPr>
        <w:t>:</w:t>
      </w:r>
      <w:r w:rsidRPr="00DE2E6C">
        <w:rPr>
          <w:rFonts w:ascii="Calibri" w:eastAsia="Calibri" w:hAnsi="Calibri" w:cs="Times New Roman"/>
          <w:color w:val="767171"/>
          <w:szCs w:val="27"/>
          <w:lang w:eastAsia="es-ES"/>
        </w:rPr>
        <w:t xml:space="preserve"> .</w:t>
      </w:r>
      <w:proofErr w:type="gramEnd"/>
      <w:r w:rsidRPr="00DE2E6C">
        <w:rPr>
          <w:rFonts w:ascii="Calibri" w:eastAsia="Calibri" w:hAnsi="Calibri" w:cs="Times New Roman"/>
          <w:color w:val="767171"/>
          <w:szCs w:val="27"/>
          <w:lang w:eastAsia="es-ES"/>
        </w:rPr>
        <w:t xml:space="preserve"> Octava Época. Instancia: Segunda Sala. Fuente: Gaceta del Semanario Judicial de la Federación. 56, Agosto de 1992. Página: 15. Tesis: 2a</w:t>
      </w:r>
      <w:proofErr w:type="gramStart"/>
      <w:r w:rsidRPr="00DE2E6C">
        <w:rPr>
          <w:rFonts w:ascii="Calibri" w:eastAsia="Calibri" w:hAnsi="Calibri" w:cs="Times New Roman"/>
          <w:color w:val="767171"/>
          <w:szCs w:val="27"/>
          <w:lang w:eastAsia="es-ES"/>
        </w:rPr>
        <w:t>./</w:t>
      </w:r>
      <w:proofErr w:type="gramEnd"/>
      <w:r w:rsidRPr="00DE2E6C">
        <w:rPr>
          <w:rFonts w:ascii="Calibri" w:eastAsia="Calibri" w:hAnsi="Calibri" w:cs="Times New Roman"/>
          <w:color w:val="767171"/>
          <w:szCs w:val="27"/>
          <w:lang w:eastAsia="es-ES"/>
        </w:rPr>
        <w:t>J 2/92 Jurisprudencia Materia(s): Administrativa</w:t>
      </w:r>
      <w:r w:rsidRPr="00DE2E6C">
        <w:rPr>
          <w:rFonts w:ascii="Calibri" w:eastAsia="Calibri" w:hAnsi="Calibri" w:cs="Times New Roman"/>
          <w:color w:val="767171"/>
          <w:sz w:val="26"/>
          <w:szCs w:val="27"/>
          <w:lang w:eastAsia="es-ES"/>
        </w:rPr>
        <w:t xml:space="preserve">. . . . </w:t>
      </w: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eastAsia="es-ES"/>
        </w:rPr>
      </w:pPr>
      <w:r w:rsidRPr="00DE2E6C">
        <w:rPr>
          <w:rFonts w:ascii="Calibri" w:eastAsia="Calibri" w:hAnsi="Calibri" w:cs="Times New Roman"/>
          <w:color w:val="767171"/>
          <w:sz w:val="26"/>
          <w:szCs w:val="27"/>
          <w:lang w:eastAsia="es-ES"/>
        </w:rPr>
        <w:t xml:space="preserve">Ahora bien, en el </w:t>
      </w:r>
      <w:r w:rsidRPr="00DE2E6C">
        <w:rPr>
          <w:rFonts w:ascii="Calibri" w:eastAsia="Calibri" w:hAnsi="Calibri" w:cs="Times New Roman"/>
          <w:b/>
          <w:color w:val="767171"/>
          <w:sz w:val="26"/>
          <w:szCs w:val="27"/>
          <w:lang w:eastAsia="es-ES"/>
        </w:rPr>
        <w:t>primer concepto</w:t>
      </w:r>
      <w:r w:rsidRPr="00DE2E6C">
        <w:rPr>
          <w:rFonts w:ascii="Calibri" w:eastAsia="Calibri" w:hAnsi="Calibri" w:cs="Times New Roman"/>
          <w:color w:val="767171"/>
          <w:sz w:val="26"/>
          <w:szCs w:val="27"/>
          <w:lang w:eastAsia="es-ES"/>
        </w:rPr>
        <w:t xml:space="preserve"> de impugnación, refirió la parte actora, que no se encuentra debidamente fundada y motivada la respuesta que se le otorgó; lo que respecto de la autoridad demandada, </w:t>
      </w:r>
      <w:r w:rsidRPr="00DE2E6C">
        <w:rPr>
          <w:rFonts w:ascii="Calibri" w:eastAsia="Calibri" w:hAnsi="Calibri" w:cs="Arial"/>
          <w:color w:val="767171"/>
          <w:sz w:val="26"/>
          <w:szCs w:val="27"/>
          <w:lang w:eastAsia="es-ES"/>
        </w:rPr>
        <w:t xml:space="preserve">Directora de área de contacto y servicio a la ciudadanía, Licenciada *****; sí resulta fundado, específicamente en cuando a la insuficiente motivación del oficio. </w:t>
      </w:r>
      <w:r w:rsidRPr="00DE2E6C">
        <w:rPr>
          <w:rFonts w:ascii="Calibri" w:eastAsia="Calibri" w:hAnsi="Calibri" w:cs="Times New Roman"/>
          <w:bCs/>
          <w:color w:val="767171"/>
          <w:sz w:val="26"/>
          <w:szCs w:val="26"/>
          <w:lang w:eastAsia="es-ES"/>
        </w:rPr>
        <w:t>. . . . . . . . . . . . . .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r w:rsidRPr="00DE2E6C">
        <w:rPr>
          <w:rFonts w:ascii="Calibri" w:eastAsia="Calibri" w:hAnsi="Calibri" w:cs="Times New Roman"/>
          <w:bCs/>
          <w:color w:val="767171"/>
          <w:sz w:val="26"/>
          <w:szCs w:val="26"/>
          <w:lang w:val="es-ES" w:eastAsia="es-ES"/>
        </w:rPr>
        <w:t xml:space="preserve">Ello es asÍ, porque en el oficio, el oficio número </w:t>
      </w:r>
      <w:r w:rsidRPr="00DE2E6C">
        <w:rPr>
          <w:rFonts w:ascii="Calibri" w:eastAsia="Calibri" w:hAnsi="Calibri" w:cs="Times New Roman"/>
          <w:b/>
          <w:bCs/>
          <w:color w:val="767171"/>
          <w:sz w:val="26"/>
          <w:szCs w:val="26"/>
          <w:lang w:val="es-ES" w:eastAsia="es-ES"/>
        </w:rPr>
        <w:t>DGDU/CSC/CA/9-159297/2014</w:t>
      </w:r>
      <w:r w:rsidRPr="00DE2E6C">
        <w:rPr>
          <w:rFonts w:ascii="Calibri" w:eastAsia="Calibri" w:hAnsi="Calibri" w:cs="Times New Roman"/>
          <w:bCs/>
          <w:color w:val="767171"/>
          <w:sz w:val="26"/>
          <w:szCs w:val="26"/>
          <w:lang w:val="es-ES" w:eastAsia="es-ES"/>
        </w:rPr>
        <w:t xml:space="preserve">, de fecha 10 diez de julio del año 2014 dos mil catorce, por la que se determinó no otorgarle el permiso de anuncio publicitario, de tipo espectacular, en azotea, ubicado en la *****; a la parte actora, se motivó insuficientemente; pues se le dijo que, en base a las fotografías presentadas, así como a la visita física realizada, se detectó que excedía la altura de 2.20 mts. </w:t>
      </w:r>
      <w:proofErr w:type="gramStart"/>
      <w:r w:rsidRPr="00DE2E6C">
        <w:rPr>
          <w:rFonts w:ascii="Calibri" w:eastAsia="Calibri" w:hAnsi="Calibri" w:cs="Times New Roman"/>
          <w:bCs/>
          <w:color w:val="767171"/>
          <w:sz w:val="26"/>
          <w:szCs w:val="26"/>
          <w:lang w:val="es-ES" w:eastAsia="es-ES"/>
        </w:rPr>
        <w:t>dos</w:t>
      </w:r>
      <w:proofErr w:type="gramEnd"/>
      <w:r w:rsidRPr="00DE2E6C">
        <w:rPr>
          <w:rFonts w:ascii="Calibri" w:eastAsia="Calibri" w:hAnsi="Calibri" w:cs="Times New Roman"/>
          <w:bCs/>
          <w:color w:val="767171"/>
          <w:sz w:val="26"/>
          <w:szCs w:val="26"/>
          <w:lang w:val="es-ES" w:eastAsia="es-ES"/>
        </w:rPr>
        <w:t xml:space="preserve"> punto veinte metros, medido del nivel de azotea a la base de la carátula; así como que las dimensiones de las carátulas de anuncio manifestadas en la memoria de cálculo, plano estructural y  carta responsiva excedían las máximas permitidas. . . . . . . . . . . . . . . . . . . . . . . . . . . . . . . </w:t>
      </w: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p>
    <w:p w:rsidR="00DE2E6C" w:rsidRPr="00DE2E6C" w:rsidRDefault="00DE2E6C" w:rsidP="00DE2E6C">
      <w:pPr>
        <w:spacing w:after="0" w:line="240" w:lineRule="auto"/>
        <w:ind w:firstLine="708"/>
        <w:jc w:val="right"/>
        <w:rPr>
          <w:rFonts w:ascii="Calibri" w:eastAsia="Calibri" w:hAnsi="Calibri" w:cs="Times New Roman"/>
          <w:b/>
          <w:bCs/>
          <w:color w:val="767171"/>
          <w:sz w:val="26"/>
          <w:szCs w:val="26"/>
          <w:lang w:val="es-ES" w:eastAsia="es-ES"/>
        </w:rPr>
      </w:pPr>
      <w:r w:rsidRPr="00DE2E6C">
        <w:rPr>
          <w:rFonts w:ascii="Calibri" w:eastAsia="Calibri" w:hAnsi="Calibri" w:cs="Times New Roman"/>
          <w:b/>
          <w:bCs/>
          <w:color w:val="767171"/>
          <w:sz w:val="26"/>
          <w:szCs w:val="26"/>
          <w:lang w:val="es-ES" w:eastAsia="es-ES"/>
        </w:rPr>
        <w:t>Expediente número 400/2014-JN</w:t>
      </w: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r w:rsidRPr="00DE2E6C">
        <w:rPr>
          <w:rFonts w:ascii="Calibri" w:eastAsia="Calibri" w:hAnsi="Calibri" w:cs="Times New Roman"/>
          <w:bCs/>
          <w:color w:val="767171"/>
          <w:sz w:val="26"/>
          <w:szCs w:val="26"/>
          <w:lang w:val="es-ES" w:eastAsia="es-ES"/>
        </w:rPr>
        <w:t xml:space="preserve">De donde se deriva que se encuentra insuficientemente motivada dicha respuesta; pues la Directora de área de contacto y servicio a la ciudadanía, debió haber precisado a que fotografías se refería, como es que de las mismas se </w:t>
      </w:r>
      <w:r w:rsidRPr="00DE2E6C">
        <w:rPr>
          <w:rFonts w:ascii="Calibri" w:eastAsia="Calibri" w:hAnsi="Calibri" w:cs="Times New Roman"/>
          <w:bCs/>
          <w:color w:val="767171"/>
          <w:sz w:val="26"/>
          <w:szCs w:val="26"/>
          <w:lang w:val="es-ES" w:eastAsia="es-ES"/>
        </w:rPr>
        <w:lastRenderedPageBreak/>
        <w:t xml:space="preserve">desprendía que se excedía de la altura permitida; y a que visita física se refería, esto es, quien y cuando realizó dicha visita y que resultó de la misma; así como haber descrito como es que, de las dimensiones de las carátulas de anuncio manifestadas en la memoria de cálculo, plano estructural y  carta responsiva, se excedía de las dimensiones máximas permitidas; esto es, que dimensiones tenía el anuncio en lo concreto y cuales eran las máximas permitidas conforme a la ley; lo que no se hizo de manera alguna; vulnérandose con ello, el contenido de la fracción VI del artículo 137, del código de la materia. . . . . . . . . . . . . . . . . . . . . . . </w:t>
      </w:r>
    </w:p>
    <w:p w:rsidR="00DE2E6C" w:rsidRPr="00DE2E6C" w:rsidRDefault="00DE2E6C" w:rsidP="00DE2E6C">
      <w:pPr>
        <w:spacing w:after="0" w:line="240" w:lineRule="auto"/>
        <w:jc w:val="both"/>
        <w:rPr>
          <w:rFonts w:ascii="Calibri" w:eastAsia="Calibri" w:hAnsi="Calibri" w:cs="Arial"/>
          <w:color w:val="767171"/>
          <w:sz w:val="20"/>
          <w:szCs w:val="20"/>
          <w:lang w:eastAsia="es-ES"/>
        </w:rPr>
      </w:pPr>
    </w:p>
    <w:p w:rsidR="00DE2E6C" w:rsidRPr="00DE2E6C" w:rsidRDefault="00DE2E6C" w:rsidP="00DE2E6C">
      <w:pPr>
        <w:spacing w:after="0" w:line="240" w:lineRule="auto"/>
        <w:jc w:val="both"/>
        <w:rPr>
          <w:rFonts w:ascii="Calibri" w:eastAsia="Calibri" w:hAnsi="Calibri" w:cs="Times New Roman"/>
          <w:color w:val="767171"/>
          <w:sz w:val="26"/>
          <w:szCs w:val="26"/>
          <w:lang w:eastAsia="es-ES"/>
        </w:rPr>
      </w:pPr>
      <w:r w:rsidRPr="00DE2E6C">
        <w:rPr>
          <w:rFonts w:ascii="Calibri" w:eastAsia="Calibri" w:hAnsi="Calibri" w:cs="Arial"/>
          <w:color w:val="767171"/>
          <w:sz w:val="26"/>
          <w:szCs w:val="27"/>
          <w:lang w:eastAsia="es-ES"/>
        </w:rPr>
        <w:tab/>
      </w:r>
      <w:r w:rsidRPr="00DE2E6C">
        <w:rPr>
          <w:rFonts w:ascii="Calibri" w:eastAsia="Calibri" w:hAnsi="Calibri" w:cs="Times New Roman"/>
          <w:color w:val="767171"/>
          <w:sz w:val="26"/>
          <w:szCs w:val="27"/>
          <w:lang w:eastAsia="es-ES"/>
        </w:rPr>
        <w:t xml:space="preserve">Por lo anterior, al haberse omitido la firma autógrafa o electrónica de la autoridad emisora del documento impugnado, en este caso, del Director General de Desarrollo Urbano; por no establecer la competencia del Coordinador de Anuncios, y por no encontrarse suficientemente motivado el oficio impugnado, respecto de la respuesta otorgada por la </w:t>
      </w:r>
      <w:r w:rsidRPr="00DE2E6C">
        <w:rPr>
          <w:rFonts w:ascii="Calibri" w:eastAsia="Calibri" w:hAnsi="Calibri" w:cs="Arial"/>
          <w:color w:val="767171"/>
          <w:sz w:val="26"/>
          <w:szCs w:val="27"/>
          <w:lang w:eastAsia="es-ES"/>
        </w:rPr>
        <w:t xml:space="preserve">Directora de área de contacto y servicio a la ciudadanía, </w:t>
      </w:r>
      <w:r w:rsidRPr="00DE2E6C">
        <w:rPr>
          <w:rFonts w:ascii="Calibri" w:eastAsia="Calibri" w:hAnsi="Calibri" w:cs="Times New Roman"/>
          <w:color w:val="767171"/>
          <w:sz w:val="26"/>
          <w:szCs w:val="27"/>
          <w:lang w:eastAsia="es-ES"/>
        </w:rPr>
        <w:t xml:space="preserve">se incurre en las causales de nulidad previstas en las fracciones I y II del artículo 302 del Código de Procedimiento y Justicia Administrativa para el Estado y los Municipios de Guanajuato; por lo que debe decretarse su </w:t>
      </w:r>
      <w:r w:rsidRPr="00DE2E6C">
        <w:rPr>
          <w:rFonts w:ascii="Calibri" w:eastAsia="Calibri" w:hAnsi="Calibri" w:cs="Times New Roman"/>
          <w:b/>
          <w:bCs/>
          <w:color w:val="767171"/>
          <w:sz w:val="26"/>
          <w:szCs w:val="27"/>
          <w:lang w:eastAsia="es-ES"/>
        </w:rPr>
        <w:t>n</w:t>
      </w:r>
      <w:r w:rsidRPr="00DE2E6C">
        <w:rPr>
          <w:rFonts w:ascii="Calibri" w:eastAsia="Calibri" w:hAnsi="Calibri" w:cs="Times New Roman"/>
          <w:b/>
          <w:bCs/>
          <w:iCs/>
          <w:color w:val="767171"/>
          <w:sz w:val="26"/>
          <w:szCs w:val="27"/>
          <w:lang w:eastAsia="es-ES"/>
        </w:rPr>
        <w:t xml:space="preserve">ulidad; con la consecuencia </w:t>
      </w:r>
      <w:r w:rsidRPr="00DE2E6C">
        <w:rPr>
          <w:rFonts w:ascii="Calibri" w:eastAsia="Calibri" w:hAnsi="Calibri" w:cs="Times New Roman"/>
          <w:bCs/>
          <w:iCs/>
          <w:color w:val="767171"/>
          <w:sz w:val="26"/>
          <w:szCs w:val="27"/>
          <w:lang w:eastAsia="es-ES"/>
        </w:rPr>
        <w:t xml:space="preserve">de que, </w:t>
      </w:r>
      <w:r w:rsidRPr="00DE2E6C">
        <w:rPr>
          <w:rFonts w:ascii="Calibri" w:eastAsia="Calibri" w:hAnsi="Calibri" w:cs="Times New Roman"/>
          <w:color w:val="767171"/>
          <w:sz w:val="26"/>
          <w:szCs w:val="26"/>
          <w:lang w:eastAsia="es-ES"/>
        </w:rPr>
        <w:t xml:space="preserve">la autoridad competente para ello, emita una nueva respuesta en la que, fundando su competencia, de respuesta, de manera precisa, congruente, exhaustiva, así como debidamente fundada y motivada, a lo solicitado por la poderdante del actor, de acuerdo a los antecedentes, las documentales e información con que cuenten; o bien, turnen la solicitud a la autoridad municipal que sea la competente para ello. .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0"/>
          <w:szCs w:val="20"/>
          <w:lang w:eastAsia="es-ES"/>
        </w:rPr>
      </w:pPr>
    </w:p>
    <w:p w:rsidR="00DE2E6C" w:rsidRPr="00DE2E6C" w:rsidRDefault="00DE2E6C" w:rsidP="00DE2E6C">
      <w:pPr>
        <w:widowControl w:val="0"/>
        <w:autoSpaceDE w:val="0"/>
        <w:autoSpaceDN w:val="0"/>
        <w:adjustRightInd w:val="0"/>
        <w:spacing w:after="0" w:line="240" w:lineRule="auto"/>
        <w:ind w:firstLine="708"/>
        <w:jc w:val="both"/>
        <w:rPr>
          <w:rFonts w:ascii="Calibri" w:eastAsia="Calibri" w:hAnsi="Calibri" w:cs="Times New Roman"/>
          <w:color w:val="767171"/>
          <w:sz w:val="26"/>
          <w:szCs w:val="24"/>
          <w:lang w:val="es-ES" w:eastAsia="es-ES"/>
        </w:rPr>
      </w:pPr>
      <w:r w:rsidRPr="00DE2E6C">
        <w:rPr>
          <w:rFonts w:ascii="Calibri" w:eastAsia="Calibri" w:hAnsi="Calibri" w:cs="Arial"/>
          <w:color w:val="767171"/>
          <w:sz w:val="26"/>
          <w:lang w:val="es-ES" w:eastAsia="es-ES"/>
        </w:rPr>
        <w:t>Al caso concreto,</w:t>
      </w:r>
      <w:r w:rsidRPr="00DE2E6C">
        <w:rPr>
          <w:rFonts w:ascii="Calibri" w:eastAsia="Calibri" w:hAnsi="Calibri" w:cs="Times New Roman"/>
          <w:color w:val="767171"/>
          <w:sz w:val="26"/>
          <w:szCs w:val="24"/>
          <w:lang w:val="es-ES" w:eastAsia="es-ES"/>
        </w:rPr>
        <w:t xml:space="preserve"> resulta aplicable el criterio de la Segunda Sala del Tribunal de lo Contencioso Administrativo del Estado, contenida en la página 194 de la publicación intitulada </w:t>
      </w:r>
      <w:r w:rsidRPr="00DE2E6C">
        <w:rPr>
          <w:rFonts w:ascii="Calibri" w:eastAsia="Calibri" w:hAnsi="Calibri" w:cs="Times New Roman"/>
          <w:i/>
          <w:color w:val="767171"/>
          <w:sz w:val="26"/>
          <w:szCs w:val="24"/>
          <w:lang w:val="es-ES" w:eastAsia="es-ES"/>
        </w:rPr>
        <w:t>“Criterios 2000-2008”</w:t>
      </w:r>
      <w:r w:rsidRPr="00DE2E6C">
        <w:rPr>
          <w:rFonts w:ascii="Calibri" w:eastAsia="Calibri" w:hAnsi="Calibri" w:cs="Times New Roman"/>
          <w:color w:val="767171"/>
          <w:sz w:val="26"/>
          <w:szCs w:val="24"/>
          <w:lang w:val="es-ES" w:eastAsia="es-ES"/>
        </w:rPr>
        <w:t xml:space="preserve"> del referido tribunal, la cual es del tenor siguiente: . . . . . . . . . . . . . . . . . . . . . . . . . . . . . . . . . . . . . . . . . . . . .</w:t>
      </w:r>
    </w:p>
    <w:p w:rsidR="00DE2E6C" w:rsidRPr="00DE2E6C" w:rsidRDefault="00DE2E6C" w:rsidP="00DE2E6C">
      <w:pPr>
        <w:spacing w:after="0" w:line="240" w:lineRule="auto"/>
        <w:jc w:val="both"/>
        <w:rPr>
          <w:rFonts w:ascii="Calibri" w:eastAsia="Calibri" w:hAnsi="Calibri" w:cs="Times New Roman"/>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eastAsia="es-ES"/>
        </w:rPr>
      </w:pPr>
      <w:r w:rsidRPr="00DE2E6C">
        <w:rPr>
          <w:rFonts w:ascii="Calibri" w:eastAsia="Calibri" w:hAnsi="Calibri" w:cs="Goudy"/>
          <w:b/>
          <w:bCs/>
          <w:i/>
          <w:color w:val="767171"/>
          <w:sz w:val="26"/>
          <w:szCs w:val="26"/>
          <w:lang w:eastAsia="es-ES"/>
        </w:rPr>
        <w:t>“FALTA DE FUNDAMENTACIÓN Y MOTIVACIÓN DEL ACTO ADMINISTRATIVO. CONSECUENCIAS DE LA</w:t>
      </w:r>
      <w:r w:rsidRPr="00DE2E6C">
        <w:rPr>
          <w:rFonts w:ascii="Calibri" w:eastAsia="Calibri" w:hAnsi="Calibri" w:cs="Goudy"/>
          <w:b/>
          <w:bCs/>
          <w:color w:val="767171"/>
          <w:sz w:val="26"/>
          <w:szCs w:val="26"/>
          <w:lang w:eastAsia="es-ES"/>
        </w:rPr>
        <w:t xml:space="preserve">.- </w:t>
      </w:r>
      <w:r w:rsidRPr="00DE2E6C">
        <w:rPr>
          <w:rFonts w:ascii="Calibri" w:eastAsia="Calibri" w:hAnsi="Calibri" w:cs="Goudy"/>
          <w:i/>
          <w:iCs/>
          <w:color w:val="767171"/>
          <w:sz w:val="26"/>
          <w:szCs w:val="26"/>
          <w:lang w:eastAsia="es-E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DE2E6C">
        <w:rPr>
          <w:rFonts w:ascii="Calibri" w:eastAsia="Calibri" w:hAnsi="Calibri" w:cs="Goudy"/>
          <w:snapToGrid w:val="0"/>
          <w:color w:val="767171"/>
          <w:szCs w:val="26"/>
          <w:lang w:eastAsia="es-ES"/>
        </w:rPr>
        <w:t xml:space="preserve">(Expediente </w:t>
      </w:r>
      <w:r w:rsidRPr="00DE2E6C">
        <w:rPr>
          <w:rFonts w:ascii="Calibri" w:eastAsia="Calibri" w:hAnsi="Calibri" w:cs="Goudy"/>
          <w:snapToGrid w:val="0"/>
          <w:color w:val="767171"/>
          <w:szCs w:val="26"/>
          <w:lang w:eastAsia="es-ES"/>
        </w:rPr>
        <w:lastRenderedPageBreak/>
        <w:t xml:space="preserve">6.477/04 Sentencia de fecha 11 de marzo de 2005. Actora: </w:t>
      </w:r>
      <w:r w:rsidRPr="00DE2E6C">
        <w:rPr>
          <w:rFonts w:ascii="Calibri" w:eastAsia="Calibri" w:hAnsi="Calibri" w:cs="Goudy"/>
          <w:color w:val="767171"/>
          <w:szCs w:val="26"/>
          <w:lang w:eastAsia="es-ES"/>
        </w:rPr>
        <w:t>María Antonia Gutiérrez Bustos</w:t>
      </w:r>
      <w:r w:rsidRPr="00DE2E6C">
        <w:rPr>
          <w:rFonts w:ascii="Calibri" w:eastAsia="Calibri" w:hAnsi="Calibri" w:cs="Goudy"/>
          <w:snapToGrid w:val="0"/>
          <w:color w:val="767171"/>
          <w:szCs w:val="26"/>
          <w:lang w:eastAsia="es-ES"/>
        </w:rPr>
        <w:t xml:space="preserve">.). . . . . . . . .  . . . . . . . . . . . . . . . . . . </w:t>
      </w:r>
    </w:p>
    <w:p w:rsidR="00DE2E6C" w:rsidRPr="00DE2E6C" w:rsidRDefault="00DE2E6C" w:rsidP="00DE2E6C">
      <w:pPr>
        <w:spacing w:after="0" w:line="240" w:lineRule="auto"/>
        <w:jc w:val="both"/>
        <w:rPr>
          <w:rFonts w:ascii="Calibri" w:eastAsia="Calibri" w:hAnsi="Calibri" w:cs="Calibri"/>
          <w:color w:val="767171"/>
          <w:sz w:val="20"/>
          <w:szCs w:val="20"/>
          <w:lang w:val="es-ES"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val="es-ES" w:eastAsia="es-ES"/>
        </w:rPr>
      </w:pPr>
      <w:r w:rsidRPr="00DE2E6C">
        <w:rPr>
          <w:rFonts w:ascii="Calibri" w:eastAsia="Calibri" w:hAnsi="Calibri" w:cs="Calibri"/>
          <w:color w:val="767171"/>
          <w:sz w:val="26"/>
          <w:szCs w:val="26"/>
          <w:lang w:val="es-ES" w:eastAsia="es-ES"/>
        </w:rPr>
        <w:t xml:space="preserve">Del mismo modo, sirve de apoyo a todo lo antes expresado, el criterio de nuestro máximo Tribunal, la Suprema Corte de Justicia de la Nación, contenido en la siguiente jurisprudencia: . . . . . . . . . . . . . . . . . . . . . . . . . . . . . . . . . . . . . . . . . . . </w:t>
      </w:r>
    </w:p>
    <w:p w:rsidR="00DE2E6C" w:rsidRPr="00DE2E6C" w:rsidRDefault="00DE2E6C" w:rsidP="00DE2E6C">
      <w:pPr>
        <w:spacing w:after="0" w:line="240" w:lineRule="auto"/>
        <w:jc w:val="both"/>
        <w:rPr>
          <w:rFonts w:ascii="Calibri" w:eastAsia="Calibri" w:hAnsi="Calibri" w:cs="Calibri"/>
          <w:i/>
          <w:iCs/>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Calibri"/>
          <w:i/>
          <w:iCs/>
          <w:color w:val="767171"/>
          <w:sz w:val="26"/>
          <w:szCs w:val="26"/>
          <w:lang w:eastAsia="es-ES"/>
        </w:rPr>
      </w:pPr>
      <w:r w:rsidRPr="00DE2E6C">
        <w:rPr>
          <w:rFonts w:ascii="Calibri" w:eastAsia="Calibri" w:hAnsi="Calibri" w:cs="Calibri"/>
          <w:i/>
          <w:iCs/>
          <w:color w:val="767171"/>
          <w:sz w:val="26"/>
          <w:szCs w:val="26"/>
          <w:lang w:eastAsia="es-ES"/>
        </w:rPr>
        <w:t>"</w:t>
      </w:r>
      <w:r w:rsidRPr="00DE2E6C">
        <w:rPr>
          <w:rFonts w:ascii="Calibri" w:eastAsia="Calibri" w:hAnsi="Calibri" w:cs="Calibri"/>
          <w:b/>
          <w:bCs/>
          <w:i/>
          <w:iCs/>
          <w:color w:val="767171"/>
          <w:sz w:val="26"/>
          <w:szCs w:val="26"/>
          <w:lang w:eastAsia="es-ES"/>
        </w:rPr>
        <w:t>INCONFORMIDAD. LA SENTENCIA QUE OTORGA EL AMPARO POR FALTA DE FUNDAMENTACIÓN Y MOTIVACIÓN, NO OBLIGA A DICTAR UNA NUEVA RESOLUCIÓN, A MENOS QUE SE TRATE DEL DERECHO DE PETICIÓN O DE LA RESOLUCIÓN DE UN RECURSO O JUICIO</w:t>
      </w:r>
      <w:r w:rsidRPr="00DE2E6C">
        <w:rPr>
          <w:rFonts w:ascii="Calibri" w:eastAsia="Calibri" w:hAnsi="Calibri" w:cs="Calibri"/>
          <w:i/>
          <w:iCs/>
          <w:color w:val="767171"/>
          <w:sz w:val="26"/>
          <w:szCs w:val="26"/>
          <w:lang w:eastAsia="es-ES"/>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DE2E6C">
        <w:rPr>
          <w:rFonts w:ascii="Calibri" w:eastAsia="Calibri" w:hAnsi="Calibri" w:cs="Calibri"/>
          <w:color w:val="767171"/>
          <w:lang w:eastAsia="es-ES"/>
        </w:rPr>
        <w:t>No. Registro: 191,245. Jurisprudencia. Materia(s): Común. Novena Época; Instancia: Segunda Sala; Fuente: Semanario Judicial de la Federación y su Gaceta; XII, Septiembre de 2000; Tesis: 2a</w:t>
      </w:r>
      <w:proofErr w:type="gramStart"/>
      <w:r w:rsidRPr="00DE2E6C">
        <w:rPr>
          <w:rFonts w:ascii="Calibri" w:eastAsia="Calibri" w:hAnsi="Calibri" w:cs="Calibri"/>
          <w:color w:val="767171"/>
          <w:lang w:eastAsia="es-ES"/>
        </w:rPr>
        <w:t>./</w:t>
      </w:r>
      <w:proofErr w:type="gramEnd"/>
      <w:r w:rsidRPr="00DE2E6C">
        <w:rPr>
          <w:rFonts w:ascii="Calibri" w:eastAsia="Calibri" w:hAnsi="Calibri" w:cs="Calibri"/>
          <w:color w:val="767171"/>
          <w:lang w:eastAsia="es-ES"/>
        </w:rPr>
        <w:t>J. 79/2000: Página: 95; Tesis de jurisprudencia 79/2000. Aprobada por la Segunda Sala de este Alto Tribunal, en sesión privada del dieciocho de agosto del año dos mil</w:t>
      </w:r>
      <w:r w:rsidRPr="00DE2E6C">
        <w:rPr>
          <w:rFonts w:ascii="Calibri" w:eastAsia="Calibri" w:hAnsi="Calibri" w:cs="Calibri"/>
          <w:color w:val="767171"/>
          <w:sz w:val="27"/>
          <w:szCs w:val="27"/>
          <w:lang w:eastAsia="es-ES"/>
        </w:rPr>
        <w:t>. . . . . . . . . . . . . . . . .</w:t>
      </w:r>
    </w:p>
    <w:p w:rsidR="00DE2E6C" w:rsidRPr="00DE2E6C" w:rsidRDefault="00DE2E6C" w:rsidP="00DE2E6C">
      <w:pPr>
        <w:spacing w:after="0" w:line="240" w:lineRule="auto"/>
        <w:jc w:val="both"/>
        <w:rPr>
          <w:rFonts w:ascii="Calibri" w:eastAsia="Calibri" w:hAnsi="Calibri" w:cs="Times New Roman"/>
          <w:b/>
          <w:bCs/>
          <w:i/>
          <w:iCs/>
          <w:color w:val="767171"/>
          <w:sz w:val="20"/>
          <w:szCs w:val="20"/>
          <w:lang w:val="es-ES" w:eastAsia="es-ES"/>
        </w:rPr>
      </w:pPr>
    </w:p>
    <w:p w:rsidR="00DE2E6C" w:rsidRPr="00DE2E6C" w:rsidRDefault="00DE2E6C" w:rsidP="00DE2E6C">
      <w:pPr>
        <w:spacing w:after="0" w:line="240" w:lineRule="auto"/>
        <w:ind w:firstLine="708"/>
        <w:jc w:val="both"/>
        <w:rPr>
          <w:rFonts w:ascii="Calibri" w:eastAsia="Calibri" w:hAnsi="Calibri" w:cs="Arial"/>
          <w:color w:val="767171"/>
          <w:sz w:val="26"/>
          <w:szCs w:val="26"/>
          <w:lang w:eastAsia="es-ES"/>
        </w:rPr>
      </w:pPr>
      <w:r w:rsidRPr="00DE2E6C">
        <w:rPr>
          <w:rFonts w:ascii="Calibri" w:eastAsia="Calibri" w:hAnsi="Calibri" w:cs="Times New Roman"/>
          <w:b/>
          <w:i/>
          <w:color w:val="767171"/>
          <w:sz w:val="26"/>
          <w:szCs w:val="26"/>
          <w:lang w:eastAsia="es-ES"/>
        </w:rPr>
        <w:t xml:space="preserve">OCTAVO.- </w:t>
      </w:r>
      <w:r w:rsidRPr="00DE2E6C">
        <w:rPr>
          <w:rFonts w:ascii="Calibri" w:eastAsia="Calibri" w:hAnsi="Calibri" w:cs="Arial"/>
          <w:color w:val="767171"/>
          <w:sz w:val="26"/>
          <w:szCs w:val="26"/>
          <w:lang w:eastAsia="es-ES"/>
        </w:rPr>
        <w:t xml:space="preserve">En virtud de que el primero y el tercer conceptos de impugnación hechos valer por la parte actora, resultaron fundados y son suficientes para declarar la nulidad del acto impugnado; con la consecuencia de que se funde la competencia de las autoridades demandadas, resulta innecesario el estudio del restante concepto de impugnación planteado por el justiciable, ya que su análisis no afectaría ni variaría el sentido de esta resolución. . . . . . . . . . . . . . . . . . . . . . . . . . . . . . . . . . . . . . . . . . . . . . . . . . . . . . . . . . . . </w:t>
      </w:r>
    </w:p>
    <w:p w:rsidR="00DE2E6C" w:rsidRPr="00DE2E6C" w:rsidRDefault="00DE2E6C" w:rsidP="00DE2E6C">
      <w:pPr>
        <w:spacing w:after="0" w:line="240" w:lineRule="auto"/>
        <w:jc w:val="both"/>
        <w:rPr>
          <w:rFonts w:ascii="Calibri" w:eastAsia="Calibri" w:hAnsi="Calibri" w:cs="Arial"/>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Arial"/>
          <w:color w:val="767171"/>
          <w:sz w:val="26"/>
          <w:szCs w:val="26"/>
          <w:lang w:eastAsia="es-ES"/>
        </w:rPr>
      </w:pPr>
      <w:r w:rsidRPr="00DE2E6C">
        <w:rPr>
          <w:rFonts w:ascii="Calibri" w:eastAsia="Calibri" w:hAnsi="Calibri" w:cs="Arial"/>
          <w:color w:val="767171"/>
          <w:sz w:val="26"/>
          <w:szCs w:val="26"/>
          <w:lang w:eastAsia="es-ES"/>
        </w:rPr>
        <w:t xml:space="preserve">Sirve de apoyo a lo anterior la tesis de jurisprudencia que a la letra señala: </w:t>
      </w:r>
    </w:p>
    <w:p w:rsidR="00DE2E6C" w:rsidRPr="00DE2E6C" w:rsidRDefault="00DE2E6C" w:rsidP="00DE2E6C">
      <w:pPr>
        <w:spacing w:after="0" w:line="240" w:lineRule="auto"/>
        <w:ind w:firstLine="708"/>
        <w:jc w:val="both"/>
        <w:rPr>
          <w:rFonts w:ascii="Calibri" w:eastAsia="Calibri" w:hAnsi="Calibri" w:cs="Arial"/>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val="es-ES" w:eastAsia="es-ES"/>
        </w:rPr>
      </w:pPr>
      <w:r w:rsidRPr="00DE2E6C">
        <w:rPr>
          <w:rFonts w:ascii="Calibri" w:eastAsia="Calibri" w:hAnsi="Calibri" w:cs="Times New Roman"/>
          <w:b/>
          <w:bCs/>
          <w:i/>
          <w:iCs/>
          <w:color w:val="767171"/>
          <w:sz w:val="26"/>
          <w:szCs w:val="27"/>
          <w:lang w:val="es-ES" w:eastAsia="es-ES"/>
        </w:rPr>
        <w:t xml:space="preserve">“CONCEPTOS DE VIOLACION. CUANDO SU ESTUDIO ES INNECESARIO. </w:t>
      </w:r>
      <w:r w:rsidRPr="00DE2E6C">
        <w:rPr>
          <w:rFonts w:ascii="Calibri" w:eastAsia="Calibri" w:hAnsi="Calibri" w:cs="Times New Roman"/>
          <w:i/>
          <w:iCs/>
          <w:color w:val="767171"/>
          <w:sz w:val="26"/>
          <w:szCs w:val="27"/>
          <w:lang w:val="es-ES" w:eastAsia="es-ES"/>
        </w:rPr>
        <w:t xml:space="preserve">Si al considerarse fundado un concepto de violación ello trae como consecuencia la </w:t>
      </w:r>
      <w:r w:rsidRPr="00DE2E6C">
        <w:rPr>
          <w:rFonts w:ascii="Calibri" w:eastAsia="Calibri" w:hAnsi="Calibri" w:cs="Times New Roman"/>
          <w:i/>
          <w:iCs/>
          <w:color w:val="767171"/>
          <w:sz w:val="26"/>
          <w:szCs w:val="27"/>
          <w:lang w:val="es-ES" w:eastAsia="es-ES"/>
        </w:rPr>
        <w:lastRenderedPageBreak/>
        <w:t xml:space="preserve">concesión del amparo, es innecesario analizar los restantes, ya que cualquiera que fuera el resultado de ese estudio, en nada variaría el sentido de la sentencia.” </w:t>
      </w:r>
      <w:r w:rsidRPr="00DE2E6C">
        <w:rPr>
          <w:rFonts w:ascii="Calibri" w:eastAsia="Calibri"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E2E6C">
        <w:rPr>
          <w:rFonts w:ascii="Calibri" w:eastAsia="Calibri" w:hAnsi="Calibri" w:cs="Times New Roman"/>
          <w:color w:val="767171"/>
          <w:sz w:val="26"/>
          <w:szCs w:val="26"/>
          <w:lang w:val="es-ES" w:eastAsia="es-ES"/>
        </w:rPr>
        <w:t>. . .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0"/>
          <w:szCs w:val="20"/>
          <w:lang w:val="es-ES" w:eastAsia="es-ES"/>
        </w:rPr>
      </w:pPr>
    </w:p>
    <w:p w:rsidR="00DE2E6C" w:rsidRPr="00DE2E6C" w:rsidRDefault="00DE2E6C" w:rsidP="00DE2E6C">
      <w:pPr>
        <w:spacing w:after="0" w:line="240" w:lineRule="auto"/>
        <w:jc w:val="both"/>
        <w:rPr>
          <w:rFonts w:ascii="Calibri" w:eastAsia="Calibri" w:hAnsi="Calibri" w:cs="Times New Roman"/>
          <w:color w:val="767171"/>
          <w:sz w:val="26"/>
          <w:szCs w:val="26"/>
          <w:lang w:val="es-ES" w:eastAsia="es-ES"/>
        </w:rPr>
      </w:pPr>
      <w:r w:rsidRPr="00DE2E6C">
        <w:rPr>
          <w:rFonts w:ascii="Calibri" w:eastAsia="Calibri" w:hAnsi="Calibri" w:cs="Times New Roman"/>
          <w:b/>
          <w:bCs/>
          <w:i/>
          <w:iCs/>
          <w:color w:val="767171"/>
          <w:sz w:val="26"/>
          <w:szCs w:val="26"/>
          <w:lang w:val="es-ES" w:eastAsia="es-ES"/>
        </w:rPr>
        <w:tab/>
        <w:t xml:space="preserve">NOVENO.- </w:t>
      </w:r>
      <w:r w:rsidRPr="00DE2E6C">
        <w:rPr>
          <w:rFonts w:ascii="Calibri" w:eastAsia="Calibri" w:hAnsi="Calibri" w:cs="Calibri"/>
          <w:bCs/>
          <w:color w:val="767171"/>
          <w:sz w:val="26"/>
          <w:szCs w:val="26"/>
          <w:lang w:val="es-ES" w:eastAsia="es-ES"/>
        </w:rPr>
        <w:t>De lo solicitado por la parte actora, se encuentra también lo referente a</w:t>
      </w:r>
      <w:r w:rsidRPr="00DE2E6C">
        <w:rPr>
          <w:rFonts w:ascii="Calibri" w:eastAsia="Calibri" w:hAnsi="Calibri" w:cs="Times New Roman"/>
          <w:color w:val="767171"/>
          <w:sz w:val="26"/>
          <w:szCs w:val="26"/>
          <w:lang w:val="es-ES" w:eastAsia="es-ES"/>
        </w:rPr>
        <w:t xml:space="preserve">l reconocimiento del derecho a que se le conceda el refrendo de la licencia del anuncio publicitario en azotea; la condena a que se emita una nueva </w:t>
      </w:r>
    </w:p>
    <w:p w:rsidR="00DE2E6C" w:rsidRPr="00DE2E6C" w:rsidRDefault="00DE2E6C" w:rsidP="00DE2E6C">
      <w:pPr>
        <w:spacing w:after="0" w:line="240" w:lineRule="auto"/>
        <w:ind w:firstLine="708"/>
        <w:jc w:val="right"/>
        <w:rPr>
          <w:rFonts w:ascii="Calibri" w:eastAsia="Calibri" w:hAnsi="Calibri" w:cs="Times New Roman"/>
          <w:b/>
          <w:bCs/>
          <w:color w:val="767171"/>
          <w:sz w:val="26"/>
          <w:szCs w:val="26"/>
          <w:lang w:val="es-ES" w:eastAsia="es-ES"/>
        </w:rPr>
      </w:pPr>
      <w:r w:rsidRPr="00DE2E6C">
        <w:rPr>
          <w:rFonts w:ascii="Calibri" w:eastAsia="Calibri" w:hAnsi="Calibri" w:cs="Times New Roman"/>
          <w:b/>
          <w:bCs/>
          <w:color w:val="767171"/>
          <w:sz w:val="26"/>
          <w:szCs w:val="26"/>
          <w:lang w:val="es-ES" w:eastAsia="es-ES"/>
        </w:rPr>
        <w:t>Expediente número 400/2014-JN</w:t>
      </w:r>
    </w:p>
    <w:p w:rsidR="00DE2E6C" w:rsidRPr="00DE2E6C" w:rsidRDefault="00DE2E6C" w:rsidP="00DE2E6C">
      <w:pPr>
        <w:spacing w:after="0" w:line="240" w:lineRule="auto"/>
        <w:jc w:val="both"/>
        <w:rPr>
          <w:rFonts w:ascii="Calibri" w:eastAsia="Calibri" w:hAnsi="Calibri" w:cs="Times New Roman"/>
          <w:color w:val="767171"/>
          <w:sz w:val="20"/>
          <w:szCs w:val="20"/>
          <w:lang w:val="es-ES" w:eastAsia="es-ES"/>
        </w:rPr>
      </w:pPr>
    </w:p>
    <w:p w:rsidR="00DE2E6C" w:rsidRPr="00DE2E6C" w:rsidRDefault="00DE2E6C" w:rsidP="00DE2E6C">
      <w:pPr>
        <w:spacing w:after="0" w:line="240" w:lineRule="auto"/>
        <w:jc w:val="both"/>
        <w:rPr>
          <w:rFonts w:ascii="Calibri" w:eastAsia="Calibri" w:hAnsi="Calibri" w:cs="Calibri"/>
          <w:bCs/>
          <w:color w:val="767171"/>
          <w:sz w:val="26"/>
          <w:szCs w:val="26"/>
          <w:lang w:val="es-ES" w:eastAsia="es-ES"/>
        </w:rPr>
      </w:pPr>
      <w:r w:rsidRPr="00DE2E6C">
        <w:rPr>
          <w:rFonts w:ascii="Calibri" w:eastAsia="Calibri" w:hAnsi="Calibri" w:cs="Times New Roman"/>
          <w:color w:val="767171"/>
          <w:sz w:val="26"/>
          <w:szCs w:val="26"/>
          <w:lang w:val="es-ES" w:eastAsia="es-ES"/>
        </w:rPr>
        <w:t>resolución en la que se conceda dicho refrendo</w:t>
      </w:r>
      <w:r w:rsidRPr="00DE2E6C">
        <w:rPr>
          <w:rFonts w:ascii="Calibri" w:eastAsia="Calibri" w:hAnsi="Calibri" w:cs="Calibri"/>
          <w:color w:val="767171"/>
          <w:sz w:val="26"/>
          <w:szCs w:val="26"/>
          <w:lang w:val="es-ES" w:eastAsia="es-ES"/>
        </w:rPr>
        <w:t>; y, el pago de daños y perjuicios; acciones previstas en los artículos 255, fracciones II y III del Código de Procedimiento y Justicia Administrativa para el Estado y los Municipios de Guanajuato. . . . . . . . . . . . . . . . . . . . . . . . . . . . . . . . . . . . . . . . . . . . . . . . . . . . . . . . . . .</w:t>
      </w:r>
    </w:p>
    <w:p w:rsidR="00DE2E6C" w:rsidRPr="00DE2E6C" w:rsidRDefault="00DE2E6C" w:rsidP="00DE2E6C">
      <w:pPr>
        <w:spacing w:after="0" w:line="240" w:lineRule="auto"/>
        <w:jc w:val="both"/>
        <w:rPr>
          <w:rFonts w:ascii="Calibri" w:eastAsia="Calibri" w:hAnsi="Calibri" w:cs="Calibri"/>
          <w:b/>
          <w:bCs/>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7"/>
          <w:lang w:eastAsia="es-ES"/>
        </w:rPr>
      </w:pPr>
      <w:r w:rsidRPr="00DE2E6C">
        <w:rPr>
          <w:rFonts w:ascii="Calibri" w:eastAsia="Calibri" w:hAnsi="Calibri" w:cs="Calibri"/>
          <w:bCs/>
          <w:color w:val="767171"/>
          <w:sz w:val="26"/>
          <w:szCs w:val="26"/>
          <w:lang w:eastAsia="es-ES"/>
        </w:rPr>
        <w:t xml:space="preserve">A lo que </w:t>
      </w:r>
      <w:r w:rsidRPr="00DE2E6C">
        <w:rPr>
          <w:rFonts w:ascii="Calibri" w:eastAsia="Calibri" w:hAnsi="Calibri" w:cs="Times New Roman"/>
          <w:b/>
          <w:bCs/>
          <w:color w:val="767171"/>
          <w:sz w:val="26"/>
          <w:szCs w:val="27"/>
          <w:lang w:eastAsia="es-ES"/>
        </w:rPr>
        <w:t xml:space="preserve">no ha lugar </w:t>
      </w:r>
      <w:r w:rsidRPr="00DE2E6C">
        <w:rPr>
          <w:rFonts w:ascii="Calibri" w:eastAsia="Calibri" w:hAnsi="Calibri" w:cs="Times New Roman"/>
          <w:color w:val="767171"/>
          <w:sz w:val="26"/>
          <w:szCs w:val="27"/>
          <w:lang w:eastAsia="es-ES"/>
        </w:rPr>
        <w:t xml:space="preserve">a hacer pronunciamiento alguno; pues al haberse emitido la resolución impugnada, sin haberse motivado correctamente; ello impide a este juzgador, entrar al estudio sobre la procedencia o improcedencia de lo solicitado; pues ello debe ser materia del estudio del fondo del asunto, una vez que sea emitida por autoridad competente para resolver sobre lo solicitado y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 . . . . . . . . . . . . . . . . . . . . . . . . . . . . . . . . . . . . . . </w:t>
      </w:r>
    </w:p>
    <w:p w:rsidR="00DE2E6C" w:rsidRPr="00DE2E6C" w:rsidRDefault="00DE2E6C" w:rsidP="00DE2E6C">
      <w:pPr>
        <w:spacing w:after="0" w:line="240" w:lineRule="auto"/>
        <w:jc w:val="both"/>
        <w:rPr>
          <w:rFonts w:ascii="Calibri" w:eastAsia="Calibri" w:hAnsi="Calibri" w:cs="Times New Roman"/>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0"/>
          <w:szCs w:val="20"/>
          <w:lang w:eastAsia="es-ES"/>
        </w:rPr>
      </w:pPr>
      <w:r w:rsidRPr="00DE2E6C">
        <w:rPr>
          <w:rFonts w:ascii="Calibri" w:eastAsia="Calibri" w:hAnsi="Calibri" w:cs="Times New Roman"/>
          <w:i/>
          <w:iCs/>
          <w:color w:val="767171"/>
          <w:sz w:val="24"/>
          <w:szCs w:val="24"/>
          <w:lang w:eastAsia="es-ES"/>
        </w:rPr>
        <w:t>"</w:t>
      </w:r>
      <w:r w:rsidRPr="00DE2E6C">
        <w:rPr>
          <w:rFonts w:ascii="Calibri" w:eastAsia="Calibri" w:hAnsi="Calibri" w:cs="Times New Roman"/>
          <w:b/>
          <w:bCs/>
          <w:i/>
          <w:iCs/>
          <w:color w:val="767171"/>
          <w:sz w:val="24"/>
          <w:szCs w:val="24"/>
          <w:lang w:eastAsia="es-ES"/>
        </w:rPr>
        <w:t>INCONFORMIDAD. LA SENTENCIA QUE OTORGA EL AMPARO POR FALTA DE FUNDAMENTACIÓN Y MOTIVACIÓN, NO OBLIGA A DICTAR UNA NUEVA RESOLUCIÓN, A MENOS QUE SE TRATE DEL DERECHO DE PETICIÓN O DE LA RESOLUCIÓN DE UN RECURSO O JUICIO</w:t>
      </w:r>
      <w:r w:rsidRPr="00DE2E6C">
        <w:rPr>
          <w:rFonts w:ascii="Calibri" w:eastAsia="Calibri" w:hAnsi="Calibri" w:cs="Times New Roman"/>
          <w:i/>
          <w:iCs/>
          <w:color w:val="767171"/>
          <w:sz w:val="24"/>
          <w:szCs w:val="24"/>
          <w:lang w:eastAsia="es-ES"/>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w:t>
      </w:r>
      <w:r w:rsidRPr="00DE2E6C">
        <w:rPr>
          <w:rFonts w:ascii="Calibri" w:eastAsia="Calibri" w:hAnsi="Calibri" w:cs="Times New Roman"/>
          <w:i/>
          <w:iCs/>
          <w:color w:val="767171"/>
          <w:sz w:val="24"/>
          <w:szCs w:val="24"/>
          <w:lang w:eastAsia="es-ES"/>
        </w:rPr>
        <w:lastRenderedPageBreak/>
        <w:t>esas hipótesis es preciso que el acto carente de fundamentación y motivación se sustituya por otro sin esas deficiencias pues, de lo contrario, se dejarían sin resolver aquéllos.”</w:t>
      </w:r>
      <w:r w:rsidRPr="00DE2E6C">
        <w:rPr>
          <w:rFonts w:ascii="Calibri" w:eastAsia="Calibri" w:hAnsi="Calibri" w:cs="Times New Roman"/>
          <w:color w:val="767171"/>
          <w:sz w:val="20"/>
          <w:szCs w:val="20"/>
          <w:lang w:eastAsia="es-ES"/>
        </w:rPr>
        <w:t>No. Registro: 191,245. Jurisprudencia. Materia(s): Común. Novena Época; Instancia: Segunda Sala; Fuente: Semanario Judicial de la Federación y su Gaceta; XII, Septiembre de 2000; Tesis: 2a</w:t>
      </w:r>
      <w:proofErr w:type="gramStart"/>
      <w:r w:rsidRPr="00DE2E6C">
        <w:rPr>
          <w:rFonts w:ascii="Calibri" w:eastAsia="Calibri" w:hAnsi="Calibri" w:cs="Times New Roman"/>
          <w:color w:val="767171"/>
          <w:sz w:val="20"/>
          <w:szCs w:val="20"/>
          <w:lang w:eastAsia="es-ES"/>
        </w:rPr>
        <w:t>./</w:t>
      </w:r>
      <w:proofErr w:type="gramEnd"/>
      <w:r w:rsidRPr="00DE2E6C">
        <w:rPr>
          <w:rFonts w:ascii="Calibri" w:eastAsia="Calibri" w:hAnsi="Calibri" w:cs="Times New Roman"/>
          <w:color w:val="767171"/>
          <w:sz w:val="20"/>
          <w:szCs w:val="20"/>
          <w:lang w:eastAsia="es-ES"/>
        </w:rPr>
        <w:t xml:space="preserve">J. 79/2000: Página: 95; Tesis de jurisprudencia 79/2000. Aprobada por la Segunda Sala de este Alto Tribunal, en sesión privada del dieciocho de agosto del año dos mil. . . . . . . . . . . . . . . . . . . . . . . . . . . . . . . . . . . . . . . . . . . . . . . . . </w:t>
      </w:r>
    </w:p>
    <w:p w:rsidR="00DE2E6C" w:rsidRPr="00DE2E6C" w:rsidRDefault="00DE2E6C" w:rsidP="00DE2E6C">
      <w:pPr>
        <w:spacing w:after="0" w:line="240" w:lineRule="auto"/>
        <w:ind w:firstLine="708"/>
        <w:jc w:val="both"/>
        <w:rPr>
          <w:rFonts w:ascii="Calibri" w:eastAsia="Calibri" w:hAnsi="Calibri" w:cs="Times New Roman"/>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eastAsia="es-ES"/>
        </w:rPr>
      </w:pPr>
      <w:r w:rsidRPr="00DE2E6C">
        <w:rPr>
          <w:rFonts w:ascii="Calibri" w:eastAsia="Calibri" w:hAnsi="Calibri" w:cs="Calibri"/>
          <w:color w:val="767171"/>
          <w:sz w:val="26"/>
          <w:szCs w:val="26"/>
          <w:lang w:eastAsia="es-ES"/>
        </w:rPr>
        <w:t xml:space="preserve">A lo antepuesto es de destacar, que la parte actora nunca exhibió la solicitud de refrendo que haya formulado a la Dirección General de Desarrollo Urbano ni de la documentación que haya acompañado a la misma, para que así este juzgador, en su caso, pudiera hacer algún pronunciamiento sobre sus pretensiones . . . . . . . . . . . . . . . . . . . . . . . . . . . . . . . . . . . . . . . . . . . . . . . . . . . . . . . . . </w:t>
      </w:r>
    </w:p>
    <w:p w:rsidR="00DE2E6C" w:rsidRPr="00DE2E6C" w:rsidRDefault="00DE2E6C" w:rsidP="00DE2E6C">
      <w:pPr>
        <w:spacing w:after="0" w:line="240" w:lineRule="auto"/>
        <w:jc w:val="both"/>
        <w:rPr>
          <w:rFonts w:ascii="Calibri" w:eastAsia="Calibri" w:hAnsi="Calibri" w:cs="Calibri"/>
          <w:color w:val="FF0000"/>
          <w:sz w:val="20"/>
          <w:szCs w:val="20"/>
          <w:lang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eastAsia="es-ES"/>
        </w:rPr>
      </w:pPr>
      <w:r w:rsidRPr="00DE2E6C">
        <w:rPr>
          <w:rFonts w:ascii="Calibri" w:eastAsia="Calibri" w:hAnsi="Calibri" w:cs="Calibri"/>
          <w:color w:val="767171"/>
          <w:sz w:val="26"/>
          <w:szCs w:val="26"/>
          <w:lang w:eastAsia="es-ES"/>
        </w:rPr>
        <w:t xml:space="preserve">Por lo anteriormente expuesto, y con fundamento además en lo dispuesto en los artículos 249, 287, 298, 299, 300, fracción III, y 302, fracciones I, y II del Código de Procedimiento y Justicia Administrativa para el Estado y los Municipios de Guanajuato, es de resolverse y se. . . . . . . . . . . . . . . . . . . . . . . . . . . . </w:t>
      </w:r>
    </w:p>
    <w:p w:rsidR="00DE2E6C" w:rsidRPr="00DE2E6C" w:rsidRDefault="00DE2E6C" w:rsidP="00DE2E6C">
      <w:pPr>
        <w:spacing w:after="0" w:line="240" w:lineRule="auto"/>
        <w:jc w:val="both"/>
        <w:rPr>
          <w:rFonts w:ascii="Calibri" w:eastAsia="Calibri" w:hAnsi="Calibri" w:cs="Calibri"/>
          <w:color w:val="767171"/>
          <w:sz w:val="20"/>
          <w:szCs w:val="20"/>
          <w:lang w:eastAsia="es-ES"/>
        </w:rPr>
      </w:pPr>
    </w:p>
    <w:p w:rsidR="00DE2E6C" w:rsidRPr="00DE2E6C" w:rsidRDefault="00DE2E6C" w:rsidP="00DE2E6C">
      <w:pPr>
        <w:spacing w:after="0" w:line="240" w:lineRule="auto"/>
        <w:jc w:val="center"/>
        <w:rPr>
          <w:rFonts w:ascii="Calibri" w:eastAsia="Calibri" w:hAnsi="Calibri" w:cs="Calibri"/>
          <w:i/>
          <w:iCs/>
          <w:color w:val="767171"/>
          <w:sz w:val="26"/>
          <w:szCs w:val="26"/>
          <w:lang w:eastAsia="es-ES"/>
        </w:rPr>
      </w:pPr>
      <w:r w:rsidRPr="00DE2E6C">
        <w:rPr>
          <w:rFonts w:ascii="Calibri" w:eastAsia="Calibri" w:hAnsi="Calibri" w:cs="Calibri"/>
          <w:b/>
          <w:i/>
          <w:iCs/>
          <w:color w:val="767171"/>
          <w:sz w:val="26"/>
          <w:szCs w:val="26"/>
          <w:lang w:eastAsia="es-ES"/>
        </w:rPr>
        <w:t xml:space="preserve">R E S U E L V </w:t>
      </w:r>
      <w:proofErr w:type="gramStart"/>
      <w:r w:rsidRPr="00DE2E6C">
        <w:rPr>
          <w:rFonts w:ascii="Calibri" w:eastAsia="Calibri" w:hAnsi="Calibri" w:cs="Calibri"/>
          <w:b/>
          <w:i/>
          <w:iCs/>
          <w:color w:val="767171"/>
          <w:sz w:val="26"/>
          <w:szCs w:val="26"/>
          <w:lang w:eastAsia="es-ES"/>
        </w:rPr>
        <w:t xml:space="preserve">E </w:t>
      </w:r>
      <w:r w:rsidRPr="00DE2E6C">
        <w:rPr>
          <w:rFonts w:ascii="Calibri" w:eastAsia="Calibri" w:hAnsi="Calibri" w:cs="Calibri"/>
          <w:i/>
          <w:iCs/>
          <w:color w:val="767171"/>
          <w:sz w:val="26"/>
          <w:szCs w:val="26"/>
          <w:lang w:eastAsia="es-ES"/>
        </w:rPr>
        <w:t>:</w:t>
      </w:r>
      <w:proofErr w:type="gramEnd"/>
    </w:p>
    <w:p w:rsidR="00DE2E6C" w:rsidRPr="00DE2E6C" w:rsidRDefault="00DE2E6C" w:rsidP="00DE2E6C">
      <w:pPr>
        <w:spacing w:after="0" w:line="240" w:lineRule="auto"/>
        <w:jc w:val="both"/>
        <w:rPr>
          <w:rFonts w:ascii="Calibri" w:eastAsia="Calibri" w:hAnsi="Calibri" w:cs="Calibri"/>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eastAsia="es-ES"/>
        </w:rPr>
      </w:pPr>
      <w:r w:rsidRPr="00DE2E6C">
        <w:rPr>
          <w:rFonts w:ascii="Calibri" w:eastAsia="Calibri" w:hAnsi="Calibri" w:cs="Calibri"/>
          <w:b/>
          <w:bCs/>
          <w:i/>
          <w:iCs/>
          <w:color w:val="767171"/>
          <w:sz w:val="26"/>
          <w:szCs w:val="26"/>
          <w:lang w:eastAsia="es-ES"/>
        </w:rPr>
        <w:t>PRIMERO.-</w:t>
      </w:r>
      <w:r w:rsidRPr="00DE2E6C">
        <w:rPr>
          <w:rFonts w:ascii="Calibri" w:eastAsia="Calibri" w:hAnsi="Calibri" w:cs="Calibri"/>
          <w:color w:val="767171"/>
          <w:sz w:val="26"/>
          <w:szCs w:val="26"/>
          <w:lang w:eastAsia="es-ES"/>
        </w:rPr>
        <w:t xml:space="preserve"> Este Juzgado Segundo Administrativo Municipal determina ser </w:t>
      </w:r>
      <w:r w:rsidRPr="00DE2E6C">
        <w:rPr>
          <w:rFonts w:ascii="Calibri" w:eastAsia="Calibri" w:hAnsi="Calibri" w:cs="Calibri"/>
          <w:b/>
          <w:color w:val="767171"/>
          <w:sz w:val="26"/>
          <w:szCs w:val="26"/>
          <w:lang w:eastAsia="es-ES"/>
        </w:rPr>
        <w:t>competente</w:t>
      </w:r>
      <w:r w:rsidRPr="00DE2E6C">
        <w:rPr>
          <w:rFonts w:ascii="Calibri" w:eastAsia="Calibri" w:hAnsi="Calibri" w:cs="Calibri"/>
          <w:color w:val="767171"/>
          <w:sz w:val="26"/>
          <w:szCs w:val="26"/>
          <w:lang w:eastAsia="es-ES"/>
        </w:rPr>
        <w:t xml:space="preserve"> para conocer y resolver del presente proceso administrativo. . . . . . . </w:t>
      </w:r>
    </w:p>
    <w:p w:rsidR="00DE2E6C" w:rsidRPr="00DE2E6C" w:rsidRDefault="00DE2E6C" w:rsidP="00DE2E6C">
      <w:pPr>
        <w:spacing w:after="0" w:line="240" w:lineRule="auto"/>
        <w:jc w:val="both"/>
        <w:rPr>
          <w:rFonts w:ascii="Calibri" w:eastAsia="Calibri" w:hAnsi="Calibri" w:cs="Calibri"/>
          <w:color w:val="767171"/>
          <w:sz w:val="20"/>
          <w:szCs w:val="20"/>
          <w:lang w:eastAsia="es-ES"/>
        </w:rPr>
      </w:pPr>
    </w:p>
    <w:p w:rsidR="00DE2E6C" w:rsidRPr="00DE2E6C" w:rsidRDefault="00DE2E6C" w:rsidP="00DE2E6C">
      <w:pPr>
        <w:spacing w:after="0" w:line="240" w:lineRule="auto"/>
        <w:ind w:firstLine="708"/>
        <w:jc w:val="both"/>
        <w:rPr>
          <w:rFonts w:ascii="Calibri" w:eastAsia="Calibri" w:hAnsi="Calibri" w:cs="Calibri"/>
          <w:b/>
          <w:bCs/>
          <w:i/>
          <w:iCs/>
          <w:color w:val="767171"/>
          <w:sz w:val="26"/>
          <w:szCs w:val="26"/>
          <w:lang w:eastAsia="es-ES"/>
        </w:rPr>
      </w:pPr>
      <w:r w:rsidRPr="00DE2E6C">
        <w:rPr>
          <w:rFonts w:ascii="Calibri" w:eastAsia="Calibri" w:hAnsi="Calibri" w:cs="Calibri"/>
          <w:b/>
          <w:bCs/>
          <w:i/>
          <w:iCs/>
          <w:color w:val="767171"/>
          <w:sz w:val="26"/>
          <w:szCs w:val="26"/>
          <w:lang w:eastAsia="es-ES"/>
        </w:rPr>
        <w:t xml:space="preserve">SEGUNDO.- </w:t>
      </w:r>
      <w:r w:rsidRPr="00DE2E6C">
        <w:rPr>
          <w:rFonts w:ascii="Calibri" w:eastAsia="Calibri" w:hAnsi="Calibri" w:cs="Calibri"/>
          <w:color w:val="767171"/>
          <w:sz w:val="26"/>
          <w:szCs w:val="26"/>
          <w:lang w:eastAsia="es-ES"/>
        </w:rPr>
        <w:t>Resulta</w:t>
      </w:r>
      <w:r w:rsidRPr="00DE2E6C">
        <w:rPr>
          <w:rFonts w:ascii="Calibri" w:eastAsia="Calibri" w:hAnsi="Calibri" w:cs="Calibri"/>
          <w:b/>
          <w:color w:val="767171"/>
          <w:sz w:val="26"/>
          <w:szCs w:val="26"/>
          <w:lang w:eastAsia="es-ES"/>
        </w:rPr>
        <w:t>procedente</w:t>
      </w:r>
      <w:r w:rsidRPr="00DE2E6C">
        <w:rPr>
          <w:rFonts w:ascii="Calibri" w:eastAsia="Calibri" w:hAnsi="Calibri" w:cs="Calibri"/>
          <w:color w:val="767171"/>
          <w:sz w:val="26"/>
          <w:szCs w:val="26"/>
          <w:lang w:eastAsia="es-ES"/>
        </w:rPr>
        <w:t xml:space="preserve"> el proceso administrativo interpuesto en contra de la resolución impugnada</w:t>
      </w:r>
      <w:r w:rsidRPr="00DE2E6C">
        <w:rPr>
          <w:rFonts w:ascii="Calibri" w:eastAsia="Calibri" w:hAnsi="Calibri" w:cs="Times New Roman"/>
          <w:color w:val="767171"/>
          <w:sz w:val="26"/>
          <w:szCs w:val="26"/>
          <w:lang w:eastAsia="es-ES"/>
        </w:rPr>
        <w:t xml:space="preserve">. . . . . . . . . . . . . . . . . . . . . . . . . . . . . . . . . . . . . . . </w:t>
      </w:r>
    </w:p>
    <w:p w:rsidR="00DE2E6C" w:rsidRPr="00DE2E6C" w:rsidRDefault="00DE2E6C" w:rsidP="00DE2E6C">
      <w:pPr>
        <w:spacing w:after="0" w:line="240" w:lineRule="auto"/>
        <w:ind w:firstLine="708"/>
        <w:jc w:val="both"/>
        <w:rPr>
          <w:rFonts w:ascii="Calibri" w:eastAsia="Calibri" w:hAnsi="Calibri" w:cs="Calibri"/>
          <w:color w:val="767171"/>
          <w:sz w:val="20"/>
          <w:szCs w:val="20"/>
          <w:lang w:eastAsia="es-ES"/>
        </w:rPr>
      </w:pPr>
    </w:p>
    <w:p w:rsidR="00DE2E6C" w:rsidRPr="00DE2E6C" w:rsidRDefault="00DE2E6C" w:rsidP="00DE2E6C">
      <w:pPr>
        <w:spacing w:after="0" w:line="240" w:lineRule="auto"/>
        <w:jc w:val="both"/>
        <w:rPr>
          <w:rFonts w:ascii="Calibri" w:eastAsia="Calibri" w:hAnsi="Calibri" w:cs="Times New Roman"/>
          <w:color w:val="767171"/>
          <w:sz w:val="26"/>
          <w:szCs w:val="26"/>
          <w:lang w:val="es-ES" w:eastAsia="es-ES"/>
        </w:rPr>
      </w:pPr>
      <w:r w:rsidRPr="00DE2E6C">
        <w:rPr>
          <w:rFonts w:ascii="Calibri" w:eastAsia="Calibri" w:hAnsi="Calibri" w:cs="Times New Roman"/>
          <w:b/>
          <w:bCs/>
          <w:i/>
          <w:iCs/>
          <w:color w:val="767171"/>
          <w:sz w:val="26"/>
          <w:szCs w:val="26"/>
          <w:lang w:val="es-ES" w:eastAsia="es-ES"/>
        </w:rPr>
        <w:t>TERCERO.-</w:t>
      </w:r>
      <w:r w:rsidRPr="00DE2E6C">
        <w:rPr>
          <w:rFonts w:ascii="Calibri" w:eastAsia="Calibri" w:hAnsi="Calibri" w:cs="Times New Roman"/>
          <w:color w:val="767171"/>
          <w:sz w:val="26"/>
          <w:szCs w:val="26"/>
          <w:lang w:val="es-ES" w:eastAsia="es-ES"/>
        </w:rPr>
        <w:t xml:space="preserve"> Se decreta la </w:t>
      </w:r>
      <w:r w:rsidRPr="00DE2E6C">
        <w:rPr>
          <w:rFonts w:ascii="Calibri" w:eastAsia="Calibri" w:hAnsi="Calibri" w:cs="Times New Roman"/>
          <w:b/>
          <w:color w:val="767171"/>
          <w:sz w:val="26"/>
          <w:szCs w:val="26"/>
          <w:lang w:val="es-ES" w:eastAsia="es-ES"/>
        </w:rPr>
        <w:t xml:space="preserve">NULIDAD </w:t>
      </w:r>
      <w:r w:rsidRPr="00DE2E6C">
        <w:rPr>
          <w:rFonts w:ascii="Calibri" w:eastAsia="Calibri" w:hAnsi="Calibri" w:cs="Times New Roman"/>
          <w:color w:val="767171"/>
          <w:sz w:val="26"/>
          <w:szCs w:val="26"/>
          <w:lang w:val="es-ES" w:eastAsia="es-ES"/>
        </w:rPr>
        <w:t xml:space="preserve">de </w:t>
      </w:r>
      <w:r w:rsidRPr="00DE2E6C">
        <w:rPr>
          <w:rFonts w:ascii="Calibri" w:eastAsia="Calibri" w:hAnsi="Calibri" w:cs="Calibri"/>
          <w:color w:val="767171"/>
          <w:sz w:val="26"/>
          <w:szCs w:val="26"/>
          <w:lang w:val="es-ES" w:eastAsia="es-ES"/>
        </w:rPr>
        <w:t xml:space="preserve">la </w:t>
      </w:r>
      <w:r w:rsidRPr="00DE2E6C">
        <w:rPr>
          <w:rFonts w:ascii="Calibri" w:eastAsia="Calibri" w:hAnsi="Calibri" w:cs="Times New Roman"/>
          <w:bCs/>
          <w:color w:val="767171"/>
          <w:sz w:val="26"/>
          <w:szCs w:val="26"/>
          <w:lang w:val="es-ES" w:eastAsia="es-ES"/>
        </w:rPr>
        <w:t xml:space="preserve">resolución contenida en el oficio número el oficio número </w:t>
      </w:r>
      <w:r w:rsidRPr="00DE2E6C">
        <w:rPr>
          <w:rFonts w:ascii="Calibri" w:eastAsia="Calibri" w:hAnsi="Calibri" w:cs="Times New Roman"/>
          <w:b/>
          <w:bCs/>
          <w:color w:val="767171"/>
          <w:sz w:val="26"/>
          <w:szCs w:val="26"/>
          <w:lang w:val="es-ES" w:eastAsia="es-ES"/>
        </w:rPr>
        <w:t>DGDU/CSC/CA/9-159297/2014</w:t>
      </w:r>
      <w:r w:rsidRPr="00DE2E6C">
        <w:rPr>
          <w:rFonts w:ascii="Calibri" w:eastAsia="Calibri" w:hAnsi="Calibri" w:cs="Times New Roman"/>
          <w:bCs/>
          <w:color w:val="767171"/>
          <w:sz w:val="26"/>
          <w:szCs w:val="26"/>
          <w:lang w:val="es-ES" w:eastAsia="es-ES"/>
        </w:rPr>
        <w:t xml:space="preserve">, de fecha 10 diez de julio del año 2014 dos mil catorce, por la que se determinó no otorgarle el permiso de anuncio publicitario, de tipo espectacular, en azotea, ubicado en la *****; </w:t>
      </w:r>
      <w:r w:rsidRPr="00DE2E6C">
        <w:rPr>
          <w:rFonts w:ascii="Calibri" w:eastAsia="Calibri" w:hAnsi="Calibri" w:cs="Times New Roman"/>
          <w:b/>
          <w:iCs/>
          <w:color w:val="767171"/>
          <w:sz w:val="26"/>
          <w:szCs w:val="24"/>
          <w:lang w:val="es-ES" w:eastAsia="es-ES"/>
        </w:rPr>
        <w:t xml:space="preserve">CON LA CONSECUENCIA </w:t>
      </w:r>
      <w:r w:rsidRPr="00DE2E6C">
        <w:rPr>
          <w:rFonts w:ascii="Calibri" w:eastAsia="Calibri" w:hAnsi="Calibri" w:cs="Times New Roman"/>
          <w:color w:val="767171"/>
          <w:sz w:val="26"/>
          <w:szCs w:val="24"/>
          <w:lang w:val="es-ES" w:eastAsia="es-ES"/>
        </w:rPr>
        <w:t xml:space="preserve">de que las autoridades demandadas, la dejen insubsistente y, subsanando las omisiones formales advertidas y apreciando lo razonado en este considerando, se emita una nueva en la que, fundando y precisando su competencia, den respuesta, de </w:t>
      </w:r>
      <w:r w:rsidRPr="00DE2E6C">
        <w:rPr>
          <w:rFonts w:ascii="Calibri" w:eastAsia="Calibri" w:hAnsi="Calibri" w:cs="Times New Roman"/>
          <w:color w:val="767171"/>
          <w:sz w:val="26"/>
          <w:szCs w:val="27"/>
          <w:lang w:val="es-ES" w:eastAsia="es-ES"/>
        </w:rPr>
        <w:t xml:space="preserve">manera concreta, congruente, exhaustiva, así como </w:t>
      </w:r>
      <w:r w:rsidRPr="00DE2E6C">
        <w:rPr>
          <w:rFonts w:ascii="Calibri" w:eastAsia="Calibri" w:hAnsi="Calibri" w:cs="Times New Roman"/>
          <w:color w:val="767171"/>
          <w:sz w:val="26"/>
          <w:szCs w:val="24"/>
          <w:lang w:val="es-ES" w:eastAsia="es-ES"/>
        </w:rPr>
        <w:t xml:space="preserve">debidamente fundada y motivada, a lo solicitado por la sociedad mercantil denominada </w:t>
      </w:r>
      <w:r w:rsidRPr="00DE2E6C">
        <w:rPr>
          <w:rFonts w:ascii="Calibri" w:eastAsia="Calibri" w:hAnsi="Calibri" w:cs="Times New Roman"/>
          <w:i/>
          <w:color w:val="767171"/>
          <w:sz w:val="26"/>
          <w:szCs w:val="24"/>
          <w:lang w:val="es-ES" w:eastAsia="es-ES"/>
        </w:rPr>
        <w:t>*****</w:t>
      </w:r>
      <w:r w:rsidRPr="00DE2E6C">
        <w:rPr>
          <w:rFonts w:ascii="Calibri" w:eastAsia="Calibri" w:hAnsi="Calibri" w:cs="Times New Roman"/>
          <w:color w:val="767171"/>
          <w:sz w:val="26"/>
          <w:szCs w:val="24"/>
          <w:lang w:val="es-ES" w:eastAsia="es-ES"/>
        </w:rPr>
        <w:t xml:space="preserve">; </w:t>
      </w:r>
      <w:r w:rsidRPr="00DE2E6C">
        <w:rPr>
          <w:rFonts w:ascii="Calibri" w:eastAsia="Calibri" w:hAnsi="Calibri" w:cs="Times New Roman"/>
          <w:color w:val="767171"/>
          <w:sz w:val="26"/>
          <w:szCs w:val="27"/>
          <w:lang w:val="es-ES" w:eastAsia="es-ES"/>
        </w:rPr>
        <w:t xml:space="preserve">tomando en consideración los antecedentes, documentación e información con que cuenten, o bien, turnen la solicitud a la autoridad municipal </w:t>
      </w:r>
      <w:r w:rsidRPr="00DE2E6C">
        <w:rPr>
          <w:rFonts w:ascii="Calibri" w:eastAsia="Calibri" w:hAnsi="Calibri" w:cs="Times New Roman"/>
          <w:color w:val="767171"/>
          <w:sz w:val="26"/>
          <w:szCs w:val="26"/>
          <w:lang w:val="es-ES" w:eastAsia="es-ES"/>
        </w:rPr>
        <w:t xml:space="preserve">que sea la competente para ello. . . . . . . . . . . . . . . . . . . . . . . . . . . . . . . . . . . . . . . . . . . . . . . . . . . . . . . . . . . . . . . . . . </w:t>
      </w:r>
    </w:p>
    <w:p w:rsidR="00DE2E6C" w:rsidRPr="00DE2E6C" w:rsidRDefault="00DE2E6C" w:rsidP="00DE2E6C">
      <w:pPr>
        <w:spacing w:after="0" w:line="240" w:lineRule="auto"/>
        <w:jc w:val="both"/>
        <w:rPr>
          <w:rFonts w:ascii="Calibri" w:eastAsia="Calibri" w:hAnsi="Calibri" w:cs="Times New Roman"/>
          <w:color w:val="767171"/>
          <w:sz w:val="20"/>
          <w:szCs w:val="20"/>
          <w:lang w:val="es-ES" w:eastAsia="es-ES"/>
        </w:rPr>
      </w:pPr>
    </w:p>
    <w:p w:rsidR="00DE2E6C" w:rsidRPr="00DE2E6C" w:rsidRDefault="00DE2E6C" w:rsidP="00DE2E6C">
      <w:pPr>
        <w:spacing w:after="0" w:line="240" w:lineRule="auto"/>
        <w:ind w:firstLine="708"/>
        <w:jc w:val="both"/>
        <w:rPr>
          <w:rFonts w:ascii="Calibri" w:eastAsia="Calibri" w:hAnsi="Calibri" w:cs="Times New Roman"/>
          <w:bCs/>
          <w:color w:val="767171"/>
          <w:sz w:val="26"/>
          <w:szCs w:val="26"/>
          <w:lang w:val="es-ES" w:eastAsia="es-ES"/>
        </w:rPr>
      </w:pPr>
      <w:r w:rsidRPr="00DE2E6C">
        <w:rPr>
          <w:rFonts w:ascii="Calibri" w:eastAsia="Calibri" w:hAnsi="Calibri" w:cs="Times New Roman"/>
          <w:color w:val="767171"/>
          <w:sz w:val="26"/>
          <w:szCs w:val="26"/>
          <w:lang w:val="es-ES" w:eastAsia="es-ES"/>
        </w:rPr>
        <w:t xml:space="preserve">Lo que </w:t>
      </w:r>
      <w:r w:rsidRPr="00DE2E6C">
        <w:rPr>
          <w:rFonts w:ascii="Calibri" w:eastAsia="Calibri" w:hAnsi="Calibri" w:cs="Calibri"/>
          <w:color w:val="767171"/>
          <w:sz w:val="26"/>
          <w:szCs w:val="26"/>
          <w:lang w:val="es-ES" w:eastAsia="es-ES"/>
        </w:rPr>
        <w:t xml:space="preserve">se deberá realizar dentro de los </w:t>
      </w:r>
      <w:r w:rsidRPr="00DE2E6C">
        <w:rPr>
          <w:rFonts w:ascii="Calibri" w:eastAsia="Calibri" w:hAnsi="Calibri" w:cs="Calibri"/>
          <w:b/>
          <w:color w:val="767171"/>
          <w:sz w:val="26"/>
          <w:szCs w:val="26"/>
          <w:lang w:val="es-ES" w:eastAsia="es-ES"/>
        </w:rPr>
        <w:t>15 quince días</w:t>
      </w:r>
      <w:r w:rsidRPr="00DE2E6C">
        <w:rPr>
          <w:rFonts w:ascii="Calibri" w:eastAsia="Calibri" w:hAnsi="Calibri" w:cs="Calibri"/>
          <w:color w:val="767171"/>
          <w:sz w:val="26"/>
          <w:szCs w:val="26"/>
          <w:lang w:val="es-ES" w:eastAsia="es-ES"/>
        </w:rPr>
        <w:t xml:space="preserve"> hábiles siguientes a la fecha en que </w:t>
      </w:r>
      <w:r w:rsidRPr="00DE2E6C">
        <w:rPr>
          <w:rFonts w:ascii="Calibri" w:eastAsia="Calibri" w:hAnsi="Calibri" w:cs="Calibri"/>
          <w:b/>
          <w:color w:val="767171"/>
          <w:sz w:val="26"/>
          <w:szCs w:val="26"/>
          <w:lang w:val="es-ES" w:eastAsia="es-ES"/>
        </w:rPr>
        <w:t>cause ejecutoria</w:t>
      </w:r>
      <w:r w:rsidRPr="00DE2E6C">
        <w:rPr>
          <w:rFonts w:ascii="Calibri" w:eastAsia="Calibri" w:hAnsi="Calibri" w:cs="Calibri"/>
          <w:color w:val="767171"/>
          <w:sz w:val="26"/>
          <w:szCs w:val="26"/>
          <w:lang w:val="es-ES" w:eastAsia="es-ES"/>
        </w:rPr>
        <w:t xml:space="preserve"> la presente resolución; debiendo informar a este Juzgado del cumplimiento dado al presente resolutivo, acompañando las </w:t>
      </w:r>
      <w:r w:rsidRPr="00DE2E6C">
        <w:rPr>
          <w:rFonts w:ascii="Calibri" w:eastAsia="Calibri" w:hAnsi="Calibri" w:cs="Calibri"/>
          <w:color w:val="767171"/>
          <w:sz w:val="26"/>
          <w:szCs w:val="26"/>
          <w:lang w:val="es-ES" w:eastAsia="es-ES"/>
        </w:rPr>
        <w:lastRenderedPageBreak/>
        <w:t>constancias relativas que así lo acrediten.</w:t>
      </w:r>
      <w:r w:rsidRPr="00DE2E6C">
        <w:rPr>
          <w:rFonts w:ascii="Calibri" w:eastAsia="Calibri" w:hAnsi="Calibri" w:cs="Times New Roman"/>
          <w:color w:val="767171"/>
          <w:sz w:val="26"/>
          <w:szCs w:val="26"/>
          <w:lang w:val="es-ES" w:eastAsia="es-ES"/>
        </w:rPr>
        <w:t xml:space="preserve"> Lo anterior de acuerdo a lo razonamientos lógico jurídicos vertidos en el Considerando Séptimo de esta Sentencia. . . . . . . . . . . . . . . . . . . . . . . . . . . . . . . . . . . . . . . . . . . . . . . . . . . . . . . . . . . . </w:t>
      </w:r>
    </w:p>
    <w:p w:rsidR="00DE2E6C" w:rsidRPr="00DE2E6C" w:rsidRDefault="00DE2E6C" w:rsidP="00DE2E6C">
      <w:pPr>
        <w:spacing w:after="120" w:line="240" w:lineRule="auto"/>
        <w:ind w:firstLine="708"/>
        <w:jc w:val="both"/>
        <w:rPr>
          <w:rFonts w:ascii="Calibri" w:eastAsia="Times New Roman" w:hAnsi="Calibri" w:cs="Times New Roman"/>
          <w:color w:val="767171"/>
          <w:sz w:val="20"/>
          <w:szCs w:val="20"/>
          <w:lang w:val="es-ES" w:eastAsia="es-ES"/>
        </w:rPr>
      </w:pPr>
    </w:p>
    <w:p w:rsidR="00DE2E6C" w:rsidRPr="00DE2E6C" w:rsidRDefault="00DE2E6C" w:rsidP="00DE2E6C">
      <w:pPr>
        <w:spacing w:after="0" w:line="240" w:lineRule="auto"/>
        <w:ind w:firstLine="708"/>
        <w:jc w:val="both"/>
        <w:rPr>
          <w:rFonts w:ascii="Calibri" w:eastAsia="Calibri" w:hAnsi="Calibri" w:cs="Times New Roman"/>
          <w:color w:val="767171"/>
          <w:sz w:val="26"/>
          <w:szCs w:val="26"/>
          <w:lang w:eastAsia="es-ES"/>
        </w:rPr>
      </w:pPr>
      <w:r w:rsidRPr="00DE2E6C">
        <w:rPr>
          <w:rFonts w:ascii="Calibri" w:eastAsia="Calibri" w:hAnsi="Calibri" w:cs="Times New Roman"/>
          <w:b/>
          <w:i/>
          <w:color w:val="767171"/>
          <w:sz w:val="26"/>
          <w:szCs w:val="26"/>
          <w:lang w:eastAsia="es-ES"/>
        </w:rPr>
        <w:t xml:space="preserve">CUARTO.- </w:t>
      </w:r>
      <w:r w:rsidRPr="00DE2E6C">
        <w:rPr>
          <w:rFonts w:ascii="Calibri" w:eastAsia="Calibri" w:hAnsi="Calibri" w:cs="Times New Roman"/>
          <w:b/>
          <w:color w:val="767171"/>
          <w:sz w:val="26"/>
          <w:szCs w:val="26"/>
          <w:lang w:eastAsia="es-ES"/>
        </w:rPr>
        <w:t xml:space="preserve">No ha lugar </w:t>
      </w:r>
      <w:r w:rsidRPr="00DE2E6C">
        <w:rPr>
          <w:rFonts w:ascii="Calibri" w:eastAsia="Calibri" w:hAnsi="Calibri" w:cs="Calibri"/>
          <w:bCs/>
          <w:color w:val="767171"/>
          <w:sz w:val="26"/>
          <w:szCs w:val="26"/>
          <w:lang w:eastAsia="es-ES"/>
        </w:rPr>
        <w:t>a</w:t>
      </w:r>
      <w:r w:rsidRPr="00DE2E6C">
        <w:rPr>
          <w:rFonts w:ascii="Calibri" w:eastAsia="Calibri" w:hAnsi="Calibri" w:cs="Times New Roman"/>
          <w:color w:val="767171"/>
          <w:sz w:val="26"/>
          <w:szCs w:val="26"/>
          <w:lang w:eastAsia="es-ES"/>
        </w:rPr>
        <w:t xml:space="preserve">l reconocimiento del derecho a que se le conceda a la parte actora el refrendo de la licencia del anuncio publicitario autosoportado; a la condena a que se emita una nueva resolución en la que se conceda dicho refrendo; y, al pago de daños y perjuicios, de conformidad con los razonamientos lógicos y jurídicos expuestos en el Considerando Noveno de esta misma resolución. . . </w:t>
      </w:r>
      <w:r w:rsidRPr="00DE2E6C">
        <w:rPr>
          <w:rFonts w:ascii="Calibri" w:eastAsia="Calibri" w:hAnsi="Calibri" w:cs="Calibri"/>
          <w:color w:val="767171"/>
          <w:sz w:val="26"/>
          <w:szCs w:val="26"/>
          <w:lang w:eastAsia="es-ES"/>
        </w:rPr>
        <w:t>. . . . . . . . . . . . . . . . . . . . . . . . . . . . . . . . . . . . . . . . . . . . . . . . . . .</w:t>
      </w:r>
    </w:p>
    <w:p w:rsidR="00DE2E6C" w:rsidRPr="00DE2E6C" w:rsidRDefault="00DE2E6C" w:rsidP="00DE2E6C">
      <w:pPr>
        <w:spacing w:after="120" w:line="240" w:lineRule="auto"/>
        <w:jc w:val="both"/>
        <w:rPr>
          <w:rFonts w:ascii="Calibri" w:eastAsia="Times New Roman" w:hAnsi="Calibri" w:cs="Times New Roman"/>
          <w:color w:val="767171"/>
          <w:sz w:val="20"/>
          <w:szCs w:val="20"/>
          <w:lang w:val="es-ES" w:eastAsia="es-ES"/>
        </w:rPr>
      </w:pPr>
    </w:p>
    <w:p w:rsidR="00DE2E6C" w:rsidRPr="00DE2E6C" w:rsidRDefault="00DE2E6C" w:rsidP="00DE2E6C">
      <w:pPr>
        <w:spacing w:after="0" w:line="240" w:lineRule="auto"/>
        <w:ind w:firstLine="708"/>
        <w:jc w:val="both"/>
        <w:rPr>
          <w:rFonts w:ascii="Calibri" w:eastAsia="Calibri" w:hAnsi="Calibri" w:cs="Calibri"/>
          <w:color w:val="767171"/>
          <w:sz w:val="26"/>
          <w:szCs w:val="26"/>
          <w:lang w:eastAsia="es-ES"/>
        </w:rPr>
      </w:pPr>
      <w:r w:rsidRPr="00DE2E6C">
        <w:rPr>
          <w:rFonts w:ascii="Calibri" w:eastAsia="Calibri" w:hAnsi="Calibri" w:cs="Calibri"/>
          <w:color w:val="767171"/>
          <w:sz w:val="26"/>
          <w:szCs w:val="26"/>
          <w:lang w:eastAsia="es-ES"/>
        </w:rPr>
        <w:t xml:space="preserve">Notifíquese a las autoridades demandadas por oficio y por correo electrónico; y a la parte actora personalmente. . . . . . . . . . . . . . . . . . . . . . . . . . . . . </w:t>
      </w:r>
    </w:p>
    <w:p w:rsidR="00DE2E6C" w:rsidRPr="00DE2E6C" w:rsidRDefault="00DE2E6C" w:rsidP="00DE2E6C">
      <w:pPr>
        <w:spacing w:after="0" w:line="240" w:lineRule="auto"/>
        <w:jc w:val="both"/>
        <w:rPr>
          <w:rFonts w:ascii="Calibri" w:eastAsia="Calibri" w:hAnsi="Calibri" w:cs="Calibri"/>
          <w:color w:val="767171"/>
          <w:sz w:val="20"/>
          <w:szCs w:val="20"/>
          <w:lang w:eastAsia="es-ES"/>
        </w:rPr>
      </w:pPr>
    </w:p>
    <w:p w:rsidR="00DE2E6C" w:rsidRPr="00DE2E6C" w:rsidRDefault="00DE2E6C" w:rsidP="00DE2E6C">
      <w:pPr>
        <w:spacing w:after="0" w:line="240" w:lineRule="auto"/>
        <w:jc w:val="both"/>
        <w:rPr>
          <w:rFonts w:ascii="Calibri" w:eastAsia="Calibri" w:hAnsi="Calibri" w:cs="Calibri"/>
          <w:b/>
          <w:bCs/>
          <w:color w:val="767171"/>
          <w:sz w:val="26"/>
          <w:szCs w:val="26"/>
          <w:lang w:eastAsia="es-ES"/>
        </w:rPr>
      </w:pPr>
      <w:r w:rsidRPr="00DE2E6C">
        <w:rPr>
          <w:rFonts w:ascii="Calibri" w:eastAsia="Calibri" w:hAnsi="Calibri" w:cs="Calibri"/>
          <w:color w:val="767171"/>
          <w:sz w:val="26"/>
          <w:szCs w:val="26"/>
          <w:lang w:eastAsia="es-ES"/>
        </w:rPr>
        <w:tab/>
        <w:t xml:space="preserve">En su oportunidad, archívese este expediente, como asunto totalmente concluido y dese de baja en el Libro de Registros que se lleva para tal efecto. . . . </w:t>
      </w:r>
    </w:p>
    <w:p w:rsidR="00DE2E6C" w:rsidRPr="00DE2E6C" w:rsidRDefault="00DE2E6C" w:rsidP="00DE2E6C">
      <w:pPr>
        <w:spacing w:after="0" w:line="240" w:lineRule="auto"/>
        <w:ind w:firstLine="708"/>
        <w:jc w:val="both"/>
        <w:rPr>
          <w:rFonts w:ascii="Calibri" w:eastAsia="Calibri" w:hAnsi="Calibri" w:cs="Calibri"/>
          <w:color w:val="767171"/>
          <w:sz w:val="20"/>
          <w:szCs w:val="20"/>
          <w:lang w:eastAsia="es-ES"/>
        </w:rPr>
      </w:pPr>
    </w:p>
    <w:p w:rsidR="00DE2E6C" w:rsidRPr="00DE2E6C" w:rsidRDefault="00DE2E6C" w:rsidP="00DE2E6C">
      <w:pPr>
        <w:spacing w:after="0" w:line="240" w:lineRule="auto"/>
        <w:ind w:firstLine="708"/>
        <w:jc w:val="both"/>
        <w:rPr>
          <w:rFonts w:ascii="Times New Roman" w:eastAsia="Calibri" w:hAnsi="Times New Roman" w:cs="Times New Roman"/>
          <w:color w:val="767171"/>
          <w:sz w:val="24"/>
          <w:szCs w:val="24"/>
          <w:lang w:eastAsia="es-ES"/>
        </w:rPr>
      </w:pPr>
      <w:r w:rsidRPr="00DE2E6C">
        <w:rPr>
          <w:rFonts w:ascii="Calibri" w:eastAsia="Calibri" w:hAnsi="Calibri" w:cs="Calibri"/>
          <w:color w:val="767171"/>
          <w:sz w:val="26"/>
          <w:szCs w:val="26"/>
          <w:lang w:eastAsia="es-ES"/>
        </w:rPr>
        <w:t xml:space="preserve">Así lo resolvió y firma el Licenciado </w:t>
      </w:r>
      <w:r w:rsidRPr="00DE2E6C">
        <w:rPr>
          <w:rFonts w:ascii="Calibri" w:eastAsia="Calibri" w:hAnsi="Calibri" w:cs="Calibri"/>
          <w:b/>
          <w:bCs/>
          <w:color w:val="767171"/>
          <w:sz w:val="26"/>
          <w:szCs w:val="26"/>
          <w:lang w:eastAsia="es-ES"/>
        </w:rPr>
        <w:t>Ernesto Alejandro Mora Álvarez</w:t>
      </w:r>
      <w:r w:rsidRPr="00DE2E6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DE2E6C">
        <w:rPr>
          <w:rFonts w:ascii="Calibri" w:eastAsia="Calibri" w:hAnsi="Calibri" w:cs="Calibri"/>
          <w:b/>
          <w:bCs/>
          <w:color w:val="767171"/>
          <w:sz w:val="26"/>
          <w:szCs w:val="26"/>
          <w:lang w:eastAsia="es-ES"/>
        </w:rPr>
        <w:t>María del Rocío Villanueva Sánchez</w:t>
      </w:r>
      <w:r w:rsidRPr="00DE2E6C">
        <w:rPr>
          <w:rFonts w:ascii="Calibri" w:eastAsia="Calibri" w:hAnsi="Calibri" w:cs="Calibri"/>
          <w:color w:val="767171"/>
          <w:sz w:val="26"/>
          <w:szCs w:val="26"/>
          <w:lang w:eastAsia="es-ES"/>
        </w:rPr>
        <w:t>, quien da fe. . . . . . . . . . . . . . . . . . . . . . . . . . . . . . . . . . . . . . . . . .</w:t>
      </w:r>
    </w:p>
    <w:p w:rsidR="00AB1F38" w:rsidRDefault="00DE2E6C"/>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DE2E6C"/>
    <w:rsid w:val="002A579E"/>
    <w:rsid w:val="007E154C"/>
    <w:rsid w:val="00814A01"/>
    <w:rsid w:val="00DE2E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5063</Words>
  <Characters>27850</Characters>
  <Application>Microsoft Office Word</Application>
  <DocSecurity>0</DocSecurity>
  <Lines>232</Lines>
  <Paragraphs>65</Paragraphs>
  <ScaleCrop>false</ScaleCrop>
  <Company>soporte</Company>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2018-01-31T14:47:00Z</dcterms:created>
  <dcterms:modified xsi:type="dcterms:W3CDTF">2018-01-31T14:47:00Z</dcterms:modified>
</cp:coreProperties>
</file>